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16" w:rsidRDefault="003A1C16" w:rsidP="003A1C16">
      <w:pPr>
        <w:pStyle w:val="Default"/>
      </w:pPr>
    </w:p>
    <w:p w:rsidR="003A1C16" w:rsidRDefault="003A1C16" w:rsidP="003A1C16">
      <w:pPr>
        <w:pStyle w:val="Default"/>
      </w:pPr>
      <w:r>
        <w:t xml:space="preserve"> </w:t>
      </w:r>
    </w:p>
    <w:p w:rsidR="003A1C16" w:rsidRDefault="003A1C16" w:rsidP="003A1C16">
      <w:pPr>
        <w:pStyle w:val="Default"/>
        <w:rPr>
          <w:b/>
        </w:rPr>
      </w:pPr>
      <w:r w:rsidRPr="003A1C16">
        <w:rPr>
          <w:b/>
          <w:bCs/>
        </w:rPr>
        <w:t xml:space="preserve">HSE COVID-19: </w:t>
      </w:r>
      <w:r w:rsidRPr="003A1C16">
        <w:rPr>
          <w:b/>
        </w:rPr>
        <w:t>Interim Clinical Guidance – Immunosuppressant Therapy</w:t>
      </w:r>
      <w:r>
        <w:rPr>
          <w:b/>
        </w:rPr>
        <w:t xml:space="preserve"> (6</w:t>
      </w:r>
      <w:r w:rsidRPr="003A1C16">
        <w:rPr>
          <w:b/>
          <w:vertAlign w:val="superscript"/>
        </w:rPr>
        <w:t>th</w:t>
      </w:r>
      <w:r>
        <w:rPr>
          <w:b/>
        </w:rPr>
        <w:t xml:space="preserve"> April 2020) v2</w:t>
      </w:r>
    </w:p>
    <w:p w:rsidR="003A1C16" w:rsidRDefault="003A1C16" w:rsidP="003A1C16">
      <w:pPr>
        <w:pStyle w:val="Default"/>
        <w:rPr>
          <w:b/>
        </w:rPr>
      </w:pPr>
    </w:p>
    <w:p w:rsidR="001834E3" w:rsidRDefault="003A1C16" w:rsidP="003A1C16">
      <w:pPr>
        <w:pStyle w:val="Default"/>
      </w:pPr>
      <w:r>
        <w:rPr>
          <w:b/>
        </w:rPr>
        <w:t xml:space="preserve">Guidance Development Group: </w:t>
      </w:r>
      <w:r>
        <w:t>M</w:t>
      </w:r>
      <w:r w:rsidR="00E768CE">
        <w:t xml:space="preserve"> </w:t>
      </w:r>
      <w:r>
        <w:t>Pate &amp; C</w:t>
      </w:r>
      <w:r w:rsidR="00E768CE">
        <w:t xml:space="preserve"> </w:t>
      </w:r>
      <w:r>
        <w:t>Kirke (Medication Safety Programme, National Q</w:t>
      </w:r>
      <w:r w:rsidR="001834E3">
        <w:t>I Team), D Kane (</w:t>
      </w:r>
      <w:r>
        <w:t>Rheumatology</w:t>
      </w:r>
      <w:r w:rsidR="00282F3C">
        <w:t xml:space="preserve"> NCP</w:t>
      </w:r>
      <w:r>
        <w:t xml:space="preserve">), </w:t>
      </w:r>
      <w:r w:rsidR="001834E3">
        <w:t>D Murphy (Respiratory</w:t>
      </w:r>
      <w:r w:rsidR="00282F3C">
        <w:t xml:space="preserve"> NCP</w:t>
      </w:r>
      <w:r w:rsidR="001834E3">
        <w:t xml:space="preserve">), </w:t>
      </w:r>
      <w:r>
        <w:t>A Irvine (</w:t>
      </w:r>
      <w:r w:rsidR="00282F3C">
        <w:t xml:space="preserve">on behalf of </w:t>
      </w:r>
      <w:r>
        <w:t>Dermatology</w:t>
      </w:r>
      <w:r w:rsidR="00282F3C">
        <w:t xml:space="preserve"> NCP</w:t>
      </w:r>
      <w:r>
        <w:t>), M Buckley (</w:t>
      </w:r>
      <w:r w:rsidR="00282F3C">
        <w:t xml:space="preserve">on behalf of </w:t>
      </w:r>
      <w:r>
        <w:t>Gastroenterology</w:t>
      </w:r>
      <w:r w:rsidR="00282F3C">
        <w:t xml:space="preserve"> NCP</w:t>
      </w:r>
      <w:r>
        <w:t xml:space="preserve">), D </w:t>
      </w:r>
      <w:proofErr w:type="spellStart"/>
      <w:r>
        <w:t>Ke</w:t>
      </w:r>
      <w:r w:rsidR="00282F3C">
        <w:t>rrins</w:t>
      </w:r>
      <w:proofErr w:type="spellEnd"/>
      <w:r w:rsidR="00282F3C">
        <w:t xml:space="preserve"> (Pharmacology &amp; Therapeutics</w:t>
      </w:r>
      <w:r>
        <w:t>), P Ryan (ICGP).</w:t>
      </w:r>
      <w:r w:rsidR="001834E3">
        <w:t xml:space="preserve">  </w:t>
      </w:r>
    </w:p>
    <w:p w:rsidR="003A1C16" w:rsidRDefault="001834E3" w:rsidP="003A1C16">
      <w:pPr>
        <w:pStyle w:val="Default"/>
      </w:pPr>
      <w:proofErr w:type="gramStart"/>
      <w:r>
        <w:t>Also reviewed by O Hardiman (Neurology</w:t>
      </w:r>
      <w:r w:rsidR="00282F3C">
        <w:t xml:space="preserve"> NCP</w:t>
      </w:r>
      <w:r>
        <w:t>).</w:t>
      </w:r>
      <w:proofErr w:type="gramEnd"/>
    </w:p>
    <w:p w:rsidR="00282F3C" w:rsidRDefault="00282F3C" w:rsidP="003A1C16">
      <w:pPr>
        <w:pStyle w:val="Default"/>
      </w:pPr>
    </w:p>
    <w:p w:rsidR="00282F3C" w:rsidRDefault="00282F3C" w:rsidP="003A1C16">
      <w:pPr>
        <w:pStyle w:val="Default"/>
      </w:pPr>
      <w:r w:rsidRPr="00282F3C">
        <w:rPr>
          <w:b/>
        </w:rPr>
        <w:t>Purpose</w:t>
      </w:r>
      <w:r>
        <w:t xml:space="preserve">: This guidance is to aid healthcare professionals </w:t>
      </w:r>
      <w:r w:rsidR="00326F79">
        <w:t xml:space="preserve">to identify patients who may be at increased risk of infection due to </w:t>
      </w:r>
      <w:proofErr w:type="spellStart"/>
      <w:r w:rsidR="00326F79">
        <w:t>ongoing</w:t>
      </w:r>
      <w:proofErr w:type="spellEnd"/>
      <w:r w:rsidR="00326F79">
        <w:t xml:space="preserve"> regular immunosuppressant therapy.</w:t>
      </w:r>
      <w:r>
        <w:t xml:space="preserve">  </w:t>
      </w:r>
    </w:p>
    <w:p w:rsidR="00326F79" w:rsidRDefault="00282F3C" w:rsidP="003A1C16">
      <w:pPr>
        <w:pStyle w:val="Default"/>
      </w:pPr>
      <w:r>
        <w:t xml:space="preserve">Risk is stratified into Normal Risk, Increased Risk and Higher Risk.  </w:t>
      </w:r>
    </w:p>
    <w:p w:rsidR="00282F3C" w:rsidRDefault="00282F3C" w:rsidP="003A1C16">
      <w:pPr>
        <w:pStyle w:val="Default"/>
      </w:pPr>
      <w:r>
        <w:t xml:space="preserve">This information may also be used to inform </w:t>
      </w:r>
      <w:r w:rsidR="00326F79">
        <w:t xml:space="preserve">any future updates about </w:t>
      </w:r>
      <w:r>
        <w:t xml:space="preserve">the advice </w:t>
      </w:r>
      <w:r w:rsidR="00326F79">
        <w:t xml:space="preserve">for patients on immunosuppressive therapy </w:t>
      </w:r>
      <w:r>
        <w:t>to cocoon or otherwise.</w:t>
      </w:r>
    </w:p>
    <w:p w:rsidR="00282F3C" w:rsidRDefault="00282F3C" w:rsidP="003A1C16">
      <w:pPr>
        <w:pStyle w:val="Default"/>
      </w:pPr>
    </w:p>
    <w:p w:rsidR="00282F3C" w:rsidRDefault="00282F3C" w:rsidP="00282F3C">
      <w:pPr>
        <w:pStyle w:val="Default"/>
      </w:pPr>
      <w:proofErr w:type="gramStart"/>
      <w:r w:rsidRPr="00282F3C">
        <w:rPr>
          <w:b/>
        </w:rPr>
        <w:t>Target Audience</w:t>
      </w:r>
      <w:r>
        <w:t>: Healthcare professionals, including those working in occupational health settings and GPs.</w:t>
      </w:r>
      <w:proofErr w:type="gramEnd"/>
    </w:p>
    <w:p w:rsidR="00E768CE" w:rsidRDefault="00EE4AAA" w:rsidP="001C4B5B">
      <w:pPr>
        <w:spacing w:after="0"/>
        <w:rPr>
          <w:b/>
          <w:sz w:val="24"/>
        </w:rPr>
      </w:pPr>
      <w:r w:rsidRPr="00EE4AAA">
        <w:rPr>
          <w:b/>
          <w:sz w:val="24"/>
        </w:rPr>
        <w:softHyphen/>
      </w:r>
    </w:p>
    <w:p w:rsidR="001C4B5B" w:rsidRPr="00EE4AAA" w:rsidRDefault="001C4B5B" w:rsidP="001C4B5B">
      <w:pPr>
        <w:spacing w:after="0"/>
        <w:rPr>
          <w:b/>
          <w:sz w:val="24"/>
        </w:rPr>
      </w:pPr>
      <w:r w:rsidRPr="00EE4AAA">
        <w:rPr>
          <w:b/>
          <w:sz w:val="24"/>
        </w:rPr>
        <w:t>Immunosuppressant therapy sufficient to significantly increase the risk of infection</w:t>
      </w:r>
    </w:p>
    <w:p w:rsidR="001C4B5B" w:rsidRDefault="001C4B5B" w:rsidP="001C4B5B">
      <w:pPr>
        <w:spacing w:after="0"/>
      </w:pPr>
    </w:p>
    <w:p w:rsidR="00EE4AAA" w:rsidRDefault="001C4B5B" w:rsidP="001C4B5B">
      <w:pPr>
        <w:spacing w:after="0"/>
      </w:pPr>
      <w:r>
        <w:t>The following is a list of</w:t>
      </w:r>
      <w:r w:rsidRPr="00A7297E">
        <w:t xml:space="preserve"> immunosuppression therapies </w:t>
      </w:r>
      <w:r>
        <w:t xml:space="preserve">which classifies those </w:t>
      </w:r>
      <w:r w:rsidRPr="00A7297E">
        <w:t xml:space="preserve">sufficient to significantly increase risk of infection. </w:t>
      </w:r>
      <w:r>
        <w:t xml:space="preserve">This </w:t>
      </w:r>
      <w:r w:rsidRPr="00A7297E">
        <w:t xml:space="preserve">list is not exhaustive; </w:t>
      </w:r>
      <w:r>
        <w:t xml:space="preserve">for a full list and individual product Summaries of Product Characteristics (SPC) see </w:t>
      </w:r>
      <w:hyperlink r:id="rId6" w:history="1">
        <w:r w:rsidRPr="008940B1">
          <w:rPr>
            <w:rStyle w:val="Hyperlink"/>
          </w:rPr>
          <w:t>www.hpra.ie</w:t>
        </w:r>
      </w:hyperlink>
      <w:r>
        <w:t xml:space="preserve">. </w:t>
      </w:r>
      <w:r w:rsidR="0058549A">
        <w:t xml:space="preserve">  </w:t>
      </w:r>
    </w:p>
    <w:p w:rsidR="00EE4AAA" w:rsidRDefault="00EE4AAA" w:rsidP="001C4B5B">
      <w:pPr>
        <w:spacing w:after="0"/>
      </w:pPr>
    </w:p>
    <w:p w:rsidR="00472BB7" w:rsidRDefault="001C4B5B" w:rsidP="001C4B5B">
      <w:pPr>
        <w:spacing w:after="0"/>
      </w:pPr>
      <w:r>
        <w:t xml:space="preserve">Individuals </w:t>
      </w:r>
      <w:r w:rsidR="0058549A">
        <w:t xml:space="preserve">who are essential workers </w:t>
      </w:r>
      <w:r>
        <w:t xml:space="preserve">should </w:t>
      </w:r>
      <w:r w:rsidR="00EE4AAA">
        <w:t>contact</w:t>
      </w:r>
      <w:r>
        <w:t xml:space="preserve"> their occupational health department</w:t>
      </w:r>
      <w:r w:rsidR="006C0495">
        <w:t xml:space="preserve"> or</w:t>
      </w:r>
      <w:r w:rsidR="00472BB7">
        <w:t xml:space="preserve"> GP</w:t>
      </w:r>
      <w:r w:rsidR="00EE4AAA">
        <w:t xml:space="preserve"> to </w:t>
      </w:r>
      <w:r w:rsidR="00EE4AAA" w:rsidRPr="00BE49AA">
        <w:rPr>
          <w:lang w:val="en-IE"/>
        </w:rPr>
        <w:t>discuss their options for safe working</w:t>
      </w:r>
      <w:r w:rsidR="00472BB7">
        <w:t>.</w:t>
      </w:r>
    </w:p>
    <w:p w:rsidR="001C4B5B" w:rsidRDefault="001C4B5B" w:rsidP="001C4B5B">
      <w:pPr>
        <w:spacing w:after="0"/>
      </w:pPr>
    </w:p>
    <w:p w:rsidR="006447B9" w:rsidRDefault="006447B9" w:rsidP="001C4B5B">
      <w:pPr>
        <w:spacing w:after="0"/>
        <w:rPr>
          <w:b/>
        </w:rPr>
      </w:pPr>
    </w:p>
    <w:p w:rsidR="00AE2766" w:rsidRPr="006447B9" w:rsidRDefault="006447B9" w:rsidP="001C4B5B">
      <w:pPr>
        <w:spacing w:after="0"/>
        <w:rPr>
          <w:b/>
        </w:rPr>
      </w:pPr>
      <w:bookmarkStart w:id="0" w:name="_GoBack"/>
      <w:bookmarkEnd w:id="0"/>
      <w:r w:rsidRPr="006447B9">
        <w:rPr>
          <w:b/>
        </w:rPr>
        <w:t>Contents</w:t>
      </w:r>
    </w:p>
    <w:p w:rsidR="006447B9" w:rsidRDefault="006447B9" w:rsidP="001C4B5B">
      <w:pPr>
        <w:spacing w:after="0"/>
      </w:pPr>
    </w:p>
    <w:p w:rsidR="00AE2766" w:rsidRDefault="00AE2766" w:rsidP="006447B9">
      <w:pPr>
        <w:shd w:val="clear" w:color="auto" w:fill="FFFFFF" w:themeFill="background1"/>
        <w:spacing w:after="0"/>
        <w:ind w:left="720"/>
        <w:rPr>
          <w:b/>
        </w:rPr>
      </w:pPr>
      <w:r>
        <w:rPr>
          <w:b/>
        </w:rPr>
        <w:t xml:space="preserve">Section 1: </w:t>
      </w:r>
      <w:r w:rsidRPr="0041244D">
        <w:rPr>
          <w:b/>
        </w:rPr>
        <w:t>Corticosteroids</w:t>
      </w:r>
    </w:p>
    <w:p w:rsidR="00AE2766" w:rsidRDefault="00AE2766" w:rsidP="006447B9">
      <w:pPr>
        <w:shd w:val="clear" w:color="auto" w:fill="FFFFFF" w:themeFill="background1"/>
        <w:spacing w:after="0"/>
        <w:ind w:left="720"/>
        <w:rPr>
          <w:b/>
        </w:rPr>
      </w:pPr>
    </w:p>
    <w:p w:rsidR="00AE2766" w:rsidRDefault="00AE2766" w:rsidP="006447B9">
      <w:pPr>
        <w:shd w:val="clear" w:color="auto" w:fill="FFFFFF" w:themeFill="background1"/>
        <w:spacing w:after="0"/>
        <w:ind w:left="720"/>
        <w:rPr>
          <w:b/>
        </w:rPr>
      </w:pPr>
      <w:r>
        <w:rPr>
          <w:b/>
        </w:rPr>
        <w:t xml:space="preserve">Section 2: </w:t>
      </w:r>
      <w:proofErr w:type="spellStart"/>
      <w:r w:rsidRPr="00550800">
        <w:rPr>
          <w:b/>
        </w:rPr>
        <w:t>Immunomodulatory</w:t>
      </w:r>
      <w:proofErr w:type="spellEnd"/>
      <w:r w:rsidRPr="00550800">
        <w:rPr>
          <w:b/>
        </w:rPr>
        <w:t xml:space="preserve"> treatment</w:t>
      </w:r>
    </w:p>
    <w:p w:rsidR="00AE2766" w:rsidRDefault="00AE2766" w:rsidP="006447B9">
      <w:pPr>
        <w:shd w:val="clear" w:color="auto" w:fill="FFFFFF" w:themeFill="background1"/>
        <w:spacing w:after="0"/>
        <w:ind w:left="720"/>
        <w:rPr>
          <w:b/>
        </w:rPr>
      </w:pPr>
    </w:p>
    <w:p w:rsidR="00AE2766" w:rsidRDefault="00AE2766" w:rsidP="006447B9">
      <w:pPr>
        <w:shd w:val="clear" w:color="auto" w:fill="FFFFFF" w:themeFill="background1"/>
        <w:spacing w:after="0"/>
        <w:ind w:left="720"/>
        <w:rPr>
          <w:b/>
        </w:rPr>
      </w:pPr>
      <w:r w:rsidRPr="00AE2766">
        <w:rPr>
          <w:b/>
        </w:rPr>
        <w:t>Section 3</w:t>
      </w:r>
      <w:r>
        <w:rPr>
          <w:b/>
        </w:rPr>
        <w:t>:</w:t>
      </w:r>
      <w:r w:rsidRPr="00AE2766">
        <w:rPr>
          <w:b/>
        </w:rPr>
        <w:t xml:space="preserve"> Risk Stratification</w:t>
      </w:r>
    </w:p>
    <w:p w:rsidR="00AE2766" w:rsidRDefault="00AE2766" w:rsidP="006447B9">
      <w:pPr>
        <w:shd w:val="clear" w:color="auto" w:fill="FFFFFF" w:themeFill="background1"/>
        <w:spacing w:after="0"/>
        <w:ind w:left="720"/>
        <w:rPr>
          <w:b/>
        </w:rPr>
      </w:pPr>
    </w:p>
    <w:p w:rsidR="00AE2766" w:rsidRPr="00AE2766" w:rsidRDefault="00AE2766" w:rsidP="006447B9">
      <w:pPr>
        <w:shd w:val="clear" w:color="auto" w:fill="FFFFFF" w:themeFill="background1"/>
        <w:spacing w:after="0"/>
        <w:ind w:left="720"/>
        <w:rPr>
          <w:b/>
        </w:rPr>
      </w:pPr>
      <w:r>
        <w:rPr>
          <w:b/>
        </w:rPr>
        <w:t>Section 4: Patient Information</w:t>
      </w:r>
    </w:p>
    <w:p w:rsidR="00AE2766" w:rsidRPr="0041244D" w:rsidRDefault="00AE2766" w:rsidP="00AE2766">
      <w:pPr>
        <w:shd w:val="clear" w:color="auto" w:fill="FFFFFF" w:themeFill="background1"/>
        <w:spacing w:after="0"/>
        <w:rPr>
          <w:b/>
        </w:rPr>
      </w:pPr>
    </w:p>
    <w:p w:rsidR="00AE2766" w:rsidRDefault="00AE2766">
      <w:pPr>
        <w:rPr>
          <w:b/>
        </w:rPr>
      </w:pPr>
      <w:r>
        <w:rPr>
          <w:b/>
        </w:rPr>
        <w:br w:type="page"/>
      </w:r>
    </w:p>
    <w:p w:rsidR="001C4B5B" w:rsidRPr="0041244D" w:rsidRDefault="001C4B5B" w:rsidP="001C4B5B">
      <w:pPr>
        <w:shd w:val="clear" w:color="auto" w:fill="FFFFFF" w:themeFill="background1"/>
        <w:spacing w:after="0"/>
        <w:rPr>
          <w:b/>
        </w:rPr>
      </w:pPr>
      <w:r>
        <w:rPr>
          <w:b/>
        </w:rPr>
        <w:lastRenderedPageBreak/>
        <w:t xml:space="preserve">Section 1: </w:t>
      </w:r>
      <w:r w:rsidRPr="0041244D">
        <w:rPr>
          <w:b/>
        </w:rPr>
        <w:t>Corticosteroids</w:t>
      </w:r>
    </w:p>
    <w:p w:rsidR="001C4B5B" w:rsidRDefault="001C4B5B" w:rsidP="001C4B5B">
      <w:pPr>
        <w:shd w:val="clear" w:color="auto" w:fill="FFFFFF" w:themeFill="background1"/>
        <w:spacing w:after="0"/>
      </w:pPr>
    </w:p>
    <w:p w:rsidR="001C4B5B" w:rsidRDefault="001C4B5B" w:rsidP="001C4B5B">
      <w:pPr>
        <w:shd w:val="clear" w:color="auto" w:fill="FFFFFF" w:themeFill="background1"/>
        <w:spacing w:after="0"/>
      </w:pPr>
      <w:r>
        <w:t>Daily high dose corticosteroids are immunosuppressive. The following doses of prednisolone (or equivalent dose of other glucocorticoid) are likely to be immunosuppressive:</w:t>
      </w:r>
    </w:p>
    <w:p w:rsidR="001C4B5B" w:rsidRDefault="001C4B5B" w:rsidP="001C4B5B">
      <w:pPr>
        <w:shd w:val="clear" w:color="auto" w:fill="FFFFFF" w:themeFill="background1"/>
        <w:spacing w:after="0"/>
      </w:pPr>
    </w:p>
    <w:p w:rsidR="001C4B5B" w:rsidRDefault="001C4B5B" w:rsidP="001C4B5B">
      <w:pPr>
        <w:shd w:val="clear" w:color="auto" w:fill="FFFFFF" w:themeFill="background1"/>
        <w:spacing w:after="0"/>
      </w:pPr>
      <w:r>
        <w:t xml:space="preserve">Adults and children weighing 10kg or greater:   </w:t>
      </w:r>
    </w:p>
    <w:p w:rsidR="001C4B5B" w:rsidRDefault="001C4B5B" w:rsidP="001C4B5B">
      <w:pPr>
        <w:shd w:val="clear" w:color="auto" w:fill="FFFFFF" w:themeFill="background1"/>
        <w:spacing w:after="0"/>
      </w:pPr>
      <w:r w:rsidRPr="008B264F">
        <w:t>Prednisolone</w:t>
      </w:r>
      <w:r>
        <w:t xml:space="preserve"> 40 mg/day or greater for more than 1 week, </w:t>
      </w:r>
    </w:p>
    <w:p w:rsidR="001C4B5B" w:rsidRDefault="001C4B5B" w:rsidP="001C4B5B">
      <w:pPr>
        <w:shd w:val="clear" w:color="auto" w:fill="FFFFFF" w:themeFill="background1"/>
        <w:spacing w:after="0"/>
      </w:pPr>
      <w:proofErr w:type="gramStart"/>
      <w:r>
        <w:t>or</w:t>
      </w:r>
      <w:proofErr w:type="gramEnd"/>
      <w:r>
        <w:t xml:space="preserve"> 20 mg/day or greater for 2 weeks or longer</w:t>
      </w:r>
    </w:p>
    <w:p w:rsidR="001C4B5B" w:rsidRDefault="001C4B5B" w:rsidP="001C4B5B">
      <w:pPr>
        <w:shd w:val="clear" w:color="auto" w:fill="FFFFFF" w:themeFill="background1"/>
        <w:spacing w:after="0"/>
      </w:pPr>
    </w:p>
    <w:p w:rsidR="001C4B5B" w:rsidRDefault="001C4B5B" w:rsidP="001C4B5B">
      <w:pPr>
        <w:shd w:val="clear" w:color="auto" w:fill="FFFFFF" w:themeFill="background1"/>
        <w:spacing w:after="0"/>
      </w:pPr>
      <w:r>
        <w:t xml:space="preserve">Children weighing less than 10 kg: </w:t>
      </w:r>
    </w:p>
    <w:p w:rsidR="001C4B5B" w:rsidRDefault="001C4B5B" w:rsidP="001C4B5B">
      <w:pPr>
        <w:shd w:val="clear" w:color="auto" w:fill="FFFFFF" w:themeFill="background1"/>
        <w:spacing w:after="0"/>
      </w:pPr>
      <w:r>
        <w:t>2mg/kg/day for 2 weeks or longer</w:t>
      </w:r>
    </w:p>
    <w:p w:rsidR="001C4B5B" w:rsidRDefault="001C4B5B" w:rsidP="001C4B5B">
      <w:pPr>
        <w:shd w:val="clear" w:color="auto" w:fill="FFFFFF" w:themeFill="background1"/>
        <w:spacing w:after="0"/>
      </w:pPr>
    </w:p>
    <w:p w:rsidR="001C4B5B" w:rsidRDefault="001C4B5B" w:rsidP="001C4B5B">
      <w:pPr>
        <w:shd w:val="clear" w:color="auto" w:fill="FFFFFF" w:themeFill="background1"/>
        <w:spacing w:after="0"/>
      </w:pPr>
      <w:r>
        <w:t>Equivalent doses of the following glucocorticoids are likely to be immunosuppressive:</w:t>
      </w:r>
    </w:p>
    <w:p w:rsidR="001C4B5B" w:rsidRPr="008B264F" w:rsidRDefault="001C4B5B" w:rsidP="001C4B5B">
      <w:pPr>
        <w:shd w:val="clear" w:color="auto" w:fill="FFFFFF" w:themeFill="background1"/>
        <w:spacing w:after="0"/>
      </w:pPr>
      <w:r w:rsidRPr="008B264F">
        <w:t xml:space="preserve">Betamethasone </w:t>
      </w:r>
    </w:p>
    <w:p w:rsidR="001C4B5B" w:rsidRPr="008B264F" w:rsidRDefault="001C4B5B" w:rsidP="001C4B5B">
      <w:pPr>
        <w:shd w:val="clear" w:color="auto" w:fill="FFFFFF" w:themeFill="background1"/>
        <w:spacing w:after="0"/>
      </w:pPr>
      <w:r w:rsidRPr="008B264F">
        <w:t>Dexamethasone</w:t>
      </w:r>
    </w:p>
    <w:p w:rsidR="001C4B5B" w:rsidRPr="008B264F" w:rsidRDefault="001C4B5B" w:rsidP="001C4B5B">
      <w:pPr>
        <w:shd w:val="clear" w:color="auto" w:fill="FFFFFF" w:themeFill="background1"/>
        <w:spacing w:after="0"/>
      </w:pPr>
      <w:r w:rsidRPr="008B264F">
        <w:t>Hydrocortisone</w:t>
      </w:r>
    </w:p>
    <w:p w:rsidR="001C4B5B" w:rsidRPr="008B264F" w:rsidRDefault="001C4B5B" w:rsidP="001C4B5B">
      <w:pPr>
        <w:shd w:val="clear" w:color="auto" w:fill="FFFFFF" w:themeFill="background1"/>
        <w:spacing w:after="0"/>
      </w:pPr>
      <w:r w:rsidRPr="008B264F">
        <w:t>Methylprednisolone</w:t>
      </w:r>
    </w:p>
    <w:p w:rsidR="001C4B5B" w:rsidRDefault="001C4B5B" w:rsidP="001C4B5B">
      <w:pPr>
        <w:shd w:val="clear" w:color="auto" w:fill="FFFFFF" w:themeFill="background1"/>
        <w:spacing w:after="0"/>
      </w:pPr>
      <w:r w:rsidRPr="008B264F">
        <w:t>Triamcinolone</w:t>
      </w:r>
    </w:p>
    <w:p w:rsidR="001C4B5B" w:rsidRDefault="001C4B5B" w:rsidP="001C4B5B">
      <w:pPr>
        <w:shd w:val="clear" w:color="auto" w:fill="FFFFFF" w:themeFill="background1"/>
        <w:spacing w:after="0"/>
      </w:pPr>
    </w:p>
    <w:p w:rsidR="001C4B5B" w:rsidRPr="00952B06" w:rsidRDefault="001C4B5B" w:rsidP="001C4B5B">
      <w:pPr>
        <w:shd w:val="clear" w:color="auto" w:fill="FFFFFF" w:themeFill="background1"/>
        <w:spacing w:after="0"/>
        <w:rPr>
          <w:rFonts w:cstheme="minorHAnsi"/>
          <w:b/>
        </w:rPr>
      </w:pPr>
      <w:r w:rsidRPr="00F975E2">
        <w:rPr>
          <w:b/>
        </w:rPr>
        <w:t>The following steroid treatment is not considered immunosuppressive</w:t>
      </w:r>
      <w:r>
        <w:rPr>
          <w:b/>
        </w:rPr>
        <w:t xml:space="preserve"> and is not considered</w:t>
      </w:r>
      <w:r>
        <w:rPr>
          <w:rFonts w:ascii="Arial" w:hAnsi="Arial" w:cs="Arial"/>
          <w:color w:val="2B3238"/>
          <w:sz w:val="28"/>
          <w:szCs w:val="28"/>
        </w:rPr>
        <w:t xml:space="preserve"> </w:t>
      </w:r>
      <w:r w:rsidRPr="00952B06">
        <w:rPr>
          <w:rFonts w:cstheme="minorHAnsi"/>
          <w:b/>
          <w:color w:val="2B3238"/>
        </w:rPr>
        <w:t>sufficient to significantly increase risk of infection</w:t>
      </w:r>
      <w:r w:rsidRPr="00952B06">
        <w:rPr>
          <w:rFonts w:cstheme="minorHAnsi"/>
          <w:b/>
        </w:rPr>
        <w:t>:</w:t>
      </w:r>
    </w:p>
    <w:p w:rsidR="001C4B5B" w:rsidRDefault="001C4B5B" w:rsidP="001C4B5B">
      <w:pPr>
        <w:shd w:val="clear" w:color="auto" w:fill="FFFFFF" w:themeFill="background1"/>
        <w:spacing w:after="0"/>
      </w:pPr>
    </w:p>
    <w:p w:rsidR="001C4B5B" w:rsidRDefault="001C4B5B" w:rsidP="001C4B5B">
      <w:pPr>
        <w:shd w:val="clear" w:color="auto" w:fill="FFFFFF" w:themeFill="background1"/>
        <w:spacing w:after="0"/>
      </w:pPr>
      <w:proofErr w:type="spellStart"/>
      <w:r>
        <w:t>i</w:t>
      </w:r>
      <w:proofErr w:type="spellEnd"/>
      <w:r>
        <w:t>. Short term (less than 7 days) irrespective of dose</w:t>
      </w:r>
    </w:p>
    <w:p w:rsidR="001C4B5B" w:rsidRDefault="001C4B5B" w:rsidP="001C4B5B">
      <w:pPr>
        <w:shd w:val="clear" w:color="auto" w:fill="FFFFFF" w:themeFill="background1"/>
        <w:spacing w:after="0"/>
      </w:pPr>
      <w:r>
        <w:t>ii. Long term (2 weeks or greater) less than 20mg/day of prednisolone or equivalent (however see notes in section 3)</w:t>
      </w:r>
      <w:r w:rsidR="006C0495">
        <w:t>.</w:t>
      </w:r>
    </w:p>
    <w:p w:rsidR="001C4B5B" w:rsidRDefault="001C4B5B" w:rsidP="001C4B5B">
      <w:pPr>
        <w:shd w:val="clear" w:color="auto" w:fill="FFFFFF" w:themeFill="background1"/>
        <w:spacing w:after="0"/>
      </w:pPr>
      <w:r>
        <w:t>iii. Long-term, alternate-day treatment with short-acting preparations</w:t>
      </w:r>
    </w:p>
    <w:p w:rsidR="001C4B5B" w:rsidRDefault="001C4B5B" w:rsidP="001C4B5B">
      <w:pPr>
        <w:shd w:val="clear" w:color="auto" w:fill="FFFFFF" w:themeFill="background1"/>
        <w:spacing w:after="0"/>
      </w:pPr>
      <w:r>
        <w:t>iv. Maintenance physiologic doses (replacement therapy)</w:t>
      </w:r>
    </w:p>
    <w:p w:rsidR="001C4B5B" w:rsidRDefault="001C4B5B" w:rsidP="001C4B5B">
      <w:pPr>
        <w:shd w:val="clear" w:color="auto" w:fill="FFFFFF" w:themeFill="background1"/>
        <w:spacing w:after="0"/>
      </w:pPr>
      <w:proofErr w:type="gramStart"/>
      <w:r>
        <w:t>v</w:t>
      </w:r>
      <w:proofErr w:type="gramEnd"/>
      <w:r>
        <w:t>. Topical (skin or eyes) or by inhalation</w:t>
      </w:r>
    </w:p>
    <w:p w:rsidR="001C4B5B" w:rsidRDefault="001C4B5B" w:rsidP="001C4B5B">
      <w:pPr>
        <w:shd w:val="clear" w:color="auto" w:fill="FFFFFF" w:themeFill="background1"/>
        <w:spacing w:after="0"/>
      </w:pPr>
      <w:r>
        <w:t xml:space="preserve">vi. Intra-articular, </w:t>
      </w:r>
      <w:proofErr w:type="spellStart"/>
      <w:r>
        <w:t>bursal</w:t>
      </w:r>
      <w:proofErr w:type="spellEnd"/>
      <w:r>
        <w:t>, or tendon injection</w:t>
      </w:r>
    </w:p>
    <w:p w:rsidR="001C4B5B" w:rsidRDefault="001C4B5B" w:rsidP="001C4B5B">
      <w:pPr>
        <w:shd w:val="clear" w:color="auto" w:fill="FFFFFF" w:themeFill="background1"/>
        <w:spacing w:after="0"/>
      </w:pPr>
      <w:r>
        <w:t>vii. Fludrocortisone less than 300 micrograms/day</w:t>
      </w:r>
    </w:p>
    <w:p w:rsidR="001C4B5B" w:rsidRDefault="001C4B5B" w:rsidP="001C4B5B">
      <w:pPr>
        <w:shd w:val="clear" w:color="auto" w:fill="FFFFFF" w:themeFill="background1"/>
        <w:spacing w:after="0"/>
      </w:pPr>
    </w:p>
    <w:p w:rsidR="001C4B5B" w:rsidRPr="0041244D" w:rsidRDefault="001C4B5B" w:rsidP="001C4B5B">
      <w:pPr>
        <w:shd w:val="clear" w:color="auto" w:fill="FFFFFF" w:themeFill="background1"/>
        <w:spacing w:after="0"/>
        <w:rPr>
          <w:b/>
        </w:rPr>
      </w:pPr>
      <w:proofErr w:type="gramStart"/>
      <w:r>
        <w:t xml:space="preserve">Use of topical </w:t>
      </w:r>
      <w:proofErr w:type="spellStart"/>
      <w:r>
        <w:t>Calcineurin</w:t>
      </w:r>
      <w:proofErr w:type="spellEnd"/>
      <w:r>
        <w:t xml:space="preserve"> inhibitors (TCIs, e.g., </w:t>
      </w:r>
      <w:proofErr w:type="spellStart"/>
      <w:r>
        <w:t>Tacrolimus</w:t>
      </w:r>
      <w:proofErr w:type="spellEnd"/>
      <w:r>
        <w:t xml:space="preserve"> and </w:t>
      </w:r>
      <w:proofErr w:type="spellStart"/>
      <w:r>
        <w:t>Pimecrolimus</w:t>
      </w:r>
      <w:proofErr w:type="spellEnd"/>
      <w:r>
        <w:t>) for atopic dermatitis in otherwise healthy adults does not result in significant systemic absorption or immunosuppression.</w:t>
      </w:r>
      <w:proofErr w:type="gramEnd"/>
    </w:p>
    <w:p w:rsidR="001C4B5B" w:rsidRDefault="001C4B5B" w:rsidP="001C4B5B">
      <w:pPr>
        <w:shd w:val="clear" w:color="auto" w:fill="FFFFFF" w:themeFill="background1"/>
        <w:spacing w:after="0"/>
        <w:ind w:firstLine="720"/>
      </w:pPr>
    </w:p>
    <w:p w:rsidR="00AE2766" w:rsidRDefault="00AE2766">
      <w:pPr>
        <w:rPr>
          <w:b/>
        </w:rPr>
      </w:pPr>
      <w:r>
        <w:rPr>
          <w:b/>
        </w:rPr>
        <w:br w:type="page"/>
      </w:r>
    </w:p>
    <w:p w:rsidR="001C4B5B" w:rsidRDefault="001C4B5B" w:rsidP="00326F79">
      <w:r>
        <w:rPr>
          <w:b/>
        </w:rPr>
        <w:lastRenderedPageBreak/>
        <w:t xml:space="preserve">Section 2: </w:t>
      </w:r>
      <w:proofErr w:type="spellStart"/>
      <w:r w:rsidRPr="00550800">
        <w:rPr>
          <w:b/>
        </w:rPr>
        <w:t>Immunomodulatory</w:t>
      </w:r>
      <w:proofErr w:type="spellEnd"/>
      <w:r w:rsidRPr="00550800">
        <w:rPr>
          <w:b/>
        </w:rPr>
        <w:t xml:space="preserve"> treatment</w:t>
      </w:r>
      <w:r>
        <w:t xml:space="preserve"> causes immunosuppression which may be sufficient to significantly increase the risk of infection and includes medication such as:</w:t>
      </w:r>
    </w:p>
    <w:tbl>
      <w:tblPr>
        <w:tblStyle w:val="TableGrid"/>
        <w:tblW w:w="0" w:type="auto"/>
        <w:tblLook w:val="04A0" w:firstRow="1" w:lastRow="0" w:firstColumn="1" w:lastColumn="0" w:noHBand="0" w:noVBand="1"/>
      </w:tblPr>
      <w:tblGrid>
        <w:gridCol w:w="4621"/>
        <w:gridCol w:w="4621"/>
      </w:tblGrid>
      <w:tr w:rsidR="00AE2766" w:rsidTr="00363E4B">
        <w:tc>
          <w:tcPr>
            <w:tcW w:w="4621" w:type="dxa"/>
          </w:tcPr>
          <w:p w:rsidR="00AE2766" w:rsidRPr="00550800" w:rsidRDefault="00AE2766" w:rsidP="00363E4B">
            <w:pPr>
              <w:shd w:val="clear" w:color="auto" w:fill="FFFFFF" w:themeFill="background1"/>
            </w:pPr>
            <w:r w:rsidRPr="00A26549">
              <w:rPr>
                <w:b/>
              </w:rPr>
              <w:t>Azathioprine</w:t>
            </w:r>
            <w:r>
              <w:t xml:space="preserve"> </w:t>
            </w:r>
            <w:r w:rsidRPr="00A91F6A">
              <w:rPr>
                <w:i/>
              </w:rPr>
              <w:t>(Imuran</w:t>
            </w:r>
            <w:r>
              <w:rPr>
                <w:i/>
              </w:rPr>
              <w:t>®</w:t>
            </w:r>
            <w:r w:rsidRPr="00A91F6A">
              <w:rPr>
                <w:i/>
              </w:rPr>
              <w:t xml:space="preserve">, </w:t>
            </w:r>
            <w:proofErr w:type="spellStart"/>
            <w:r w:rsidRPr="00A91F6A">
              <w:rPr>
                <w:i/>
              </w:rPr>
              <w:t>Imuger</w:t>
            </w:r>
            <w:proofErr w:type="spellEnd"/>
            <w:r>
              <w:rPr>
                <w:i/>
              </w:rPr>
              <w:t>®</w:t>
            </w:r>
            <w:r w:rsidRPr="00A91F6A">
              <w:rPr>
                <w:i/>
              </w:rPr>
              <w:t>)</w:t>
            </w:r>
          </w:p>
          <w:p w:rsidR="00AE2766" w:rsidRPr="00E01D9D" w:rsidRDefault="00AE2766" w:rsidP="00363E4B">
            <w:pPr>
              <w:shd w:val="clear" w:color="auto" w:fill="FFFFFF" w:themeFill="background1"/>
              <w:rPr>
                <w:sz w:val="12"/>
                <w:szCs w:val="12"/>
              </w:rPr>
            </w:pPr>
          </w:p>
          <w:p w:rsidR="00AE2766" w:rsidRPr="00A91F6A" w:rsidRDefault="00AE2766" w:rsidP="00363E4B">
            <w:pPr>
              <w:shd w:val="clear" w:color="auto" w:fill="FFFFFF" w:themeFill="background1"/>
              <w:rPr>
                <w:i/>
              </w:rPr>
            </w:pPr>
            <w:r>
              <w:rPr>
                <w:b/>
              </w:rPr>
              <w:t>6-M</w:t>
            </w:r>
            <w:r w:rsidRPr="00A26549">
              <w:rPr>
                <w:b/>
              </w:rPr>
              <w:t>ercaptopurine</w:t>
            </w:r>
            <w:r>
              <w:t xml:space="preserve"> </w:t>
            </w:r>
            <w:r>
              <w:rPr>
                <w:i/>
              </w:rPr>
              <w:t>(</w:t>
            </w:r>
            <w:proofErr w:type="spellStart"/>
            <w:r>
              <w:rPr>
                <w:i/>
              </w:rPr>
              <w:t>Puri-Nethol</w:t>
            </w:r>
            <w:proofErr w:type="spellEnd"/>
            <w:r>
              <w:rPr>
                <w:i/>
              </w:rPr>
              <w:t xml:space="preserve">®, </w:t>
            </w:r>
            <w:proofErr w:type="spellStart"/>
            <w:r>
              <w:rPr>
                <w:i/>
              </w:rPr>
              <w:t>Xaluprine</w:t>
            </w:r>
            <w:proofErr w:type="spellEnd"/>
            <w:r>
              <w:rPr>
                <w:i/>
              </w:rPr>
              <w:t>®)</w:t>
            </w:r>
          </w:p>
          <w:p w:rsidR="00AE2766" w:rsidRPr="00E01D9D" w:rsidRDefault="00AE2766" w:rsidP="00363E4B">
            <w:pPr>
              <w:shd w:val="clear" w:color="auto" w:fill="FFFFFF" w:themeFill="background1"/>
              <w:rPr>
                <w:sz w:val="12"/>
                <w:szCs w:val="12"/>
              </w:rPr>
            </w:pPr>
          </w:p>
          <w:p w:rsidR="00AE2766" w:rsidRPr="00A91F6A" w:rsidRDefault="00AE2766" w:rsidP="00363E4B">
            <w:pPr>
              <w:shd w:val="clear" w:color="auto" w:fill="FFFFFF" w:themeFill="background1"/>
              <w:rPr>
                <w:i/>
              </w:rPr>
            </w:pPr>
            <w:proofErr w:type="spellStart"/>
            <w:r w:rsidRPr="00A26549">
              <w:rPr>
                <w:b/>
              </w:rPr>
              <w:t>Ciclosporin</w:t>
            </w:r>
            <w:proofErr w:type="spellEnd"/>
            <w:r w:rsidRPr="00550800">
              <w:t xml:space="preserve"> </w:t>
            </w:r>
            <w:r>
              <w:rPr>
                <w:i/>
              </w:rPr>
              <w:t>(</w:t>
            </w:r>
            <w:proofErr w:type="spellStart"/>
            <w:r>
              <w:rPr>
                <w:i/>
              </w:rPr>
              <w:t>Neoral</w:t>
            </w:r>
            <w:proofErr w:type="spellEnd"/>
            <w:r>
              <w:rPr>
                <w:i/>
              </w:rPr>
              <w:t xml:space="preserve">®, </w:t>
            </w:r>
            <w:proofErr w:type="spellStart"/>
            <w:r>
              <w:rPr>
                <w:i/>
              </w:rPr>
              <w:t>Sandimmun</w:t>
            </w:r>
            <w:proofErr w:type="spellEnd"/>
            <w:r>
              <w:rPr>
                <w:i/>
              </w:rPr>
              <w:t xml:space="preserve">®, </w:t>
            </w:r>
            <w:proofErr w:type="spellStart"/>
            <w:r>
              <w:rPr>
                <w:i/>
              </w:rPr>
              <w:t>Deximune</w:t>
            </w:r>
            <w:proofErr w:type="spellEnd"/>
            <w:r>
              <w:rPr>
                <w:i/>
              </w:rPr>
              <w:t>®)</w:t>
            </w:r>
          </w:p>
          <w:p w:rsidR="00AE2766" w:rsidRPr="00E01D9D" w:rsidRDefault="00AE2766" w:rsidP="00363E4B">
            <w:pPr>
              <w:shd w:val="clear" w:color="auto" w:fill="FFFFFF" w:themeFill="background1"/>
              <w:rPr>
                <w:sz w:val="12"/>
                <w:szCs w:val="12"/>
              </w:rPr>
            </w:pPr>
          </w:p>
          <w:p w:rsidR="00AE2766" w:rsidRPr="00A91F6A" w:rsidRDefault="00AE2766" w:rsidP="00363E4B">
            <w:pPr>
              <w:shd w:val="clear" w:color="auto" w:fill="FFFFFF" w:themeFill="background1"/>
              <w:rPr>
                <w:i/>
              </w:rPr>
            </w:pPr>
            <w:proofErr w:type="spellStart"/>
            <w:r w:rsidRPr="00A26549">
              <w:rPr>
                <w:b/>
              </w:rPr>
              <w:t>Mycophenolic</w:t>
            </w:r>
            <w:proofErr w:type="spellEnd"/>
            <w:r w:rsidRPr="00A26549">
              <w:rPr>
                <w:b/>
              </w:rPr>
              <w:t xml:space="preserve"> acid</w:t>
            </w:r>
            <w:r>
              <w:t xml:space="preserve"> </w:t>
            </w:r>
            <w:r>
              <w:rPr>
                <w:i/>
              </w:rPr>
              <w:t>(</w:t>
            </w:r>
            <w:proofErr w:type="spellStart"/>
            <w:r>
              <w:rPr>
                <w:i/>
              </w:rPr>
              <w:t>Cellcept</w:t>
            </w:r>
            <w:proofErr w:type="spellEnd"/>
            <w:r>
              <w:rPr>
                <w:i/>
              </w:rPr>
              <w:t xml:space="preserve">®, </w:t>
            </w:r>
            <w:proofErr w:type="spellStart"/>
            <w:r>
              <w:rPr>
                <w:i/>
              </w:rPr>
              <w:t>Myclausen</w:t>
            </w:r>
            <w:proofErr w:type="spellEnd"/>
            <w:r>
              <w:rPr>
                <w:i/>
              </w:rPr>
              <w:t xml:space="preserve">®, </w:t>
            </w:r>
            <w:proofErr w:type="spellStart"/>
            <w:r>
              <w:rPr>
                <w:i/>
              </w:rPr>
              <w:t>Mycolat</w:t>
            </w:r>
            <w:proofErr w:type="spellEnd"/>
            <w:r>
              <w:rPr>
                <w:i/>
              </w:rPr>
              <w:t xml:space="preserve">®, </w:t>
            </w:r>
            <w:proofErr w:type="spellStart"/>
            <w:r>
              <w:rPr>
                <w:i/>
              </w:rPr>
              <w:t>Myfenax</w:t>
            </w:r>
            <w:proofErr w:type="spellEnd"/>
            <w:r>
              <w:rPr>
                <w:i/>
              </w:rPr>
              <w:t>®</w:t>
            </w:r>
          </w:p>
          <w:p w:rsidR="00AE2766" w:rsidRPr="00E01D9D" w:rsidRDefault="00AE2766" w:rsidP="00363E4B">
            <w:pPr>
              <w:shd w:val="clear" w:color="auto" w:fill="FFFFFF" w:themeFill="background1"/>
              <w:rPr>
                <w:sz w:val="12"/>
                <w:szCs w:val="12"/>
              </w:rPr>
            </w:pPr>
          </w:p>
          <w:p w:rsidR="00AE2766" w:rsidRDefault="00AE2766" w:rsidP="00363E4B">
            <w:pPr>
              <w:shd w:val="clear" w:color="auto" w:fill="FFFFFF" w:themeFill="background1"/>
              <w:rPr>
                <w:i/>
              </w:rPr>
            </w:pPr>
            <w:proofErr w:type="spellStart"/>
            <w:r w:rsidRPr="00A26549">
              <w:rPr>
                <w:b/>
              </w:rPr>
              <w:t>Sirolimus</w:t>
            </w:r>
            <w:proofErr w:type="spellEnd"/>
            <w:r>
              <w:t xml:space="preserve"> </w:t>
            </w:r>
            <w:r>
              <w:rPr>
                <w:i/>
              </w:rPr>
              <w:t>(</w:t>
            </w:r>
            <w:proofErr w:type="spellStart"/>
            <w:r>
              <w:rPr>
                <w:i/>
              </w:rPr>
              <w:t>Rapamune</w:t>
            </w:r>
            <w:proofErr w:type="spellEnd"/>
            <w:r>
              <w:rPr>
                <w:i/>
              </w:rPr>
              <w:t>®)</w:t>
            </w:r>
          </w:p>
          <w:p w:rsidR="00AE2766" w:rsidRPr="00E01D9D" w:rsidRDefault="00AE2766" w:rsidP="00363E4B">
            <w:pPr>
              <w:shd w:val="clear" w:color="auto" w:fill="FFFFFF" w:themeFill="background1"/>
              <w:rPr>
                <w:sz w:val="12"/>
                <w:szCs w:val="12"/>
              </w:rPr>
            </w:pPr>
            <w:r w:rsidRPr="00550800">
              <w:t xml:space="preserve"> </w:t>
            </w:r>
          </w:p>
          <w:p w:rsidR="00AE2766" w:rsidRDefault="00AE2766" w:rsidP="00363E4B">
            <w:pPr>
              <w:shd w:val="clear" w:color="auto" w:fill="FFFFFF" w:themeFill="background1"/>
              <w:rPr>
                <w:i/>
              </w:rPr>
            </w:pPr>
            <w:proofErr w:type="spellStart"/>
            <w:r w:rsidRPr="00A26549">
              <w:rPr>
                <w:b/>
              </w:rPr>
              <w:t>Tacrolimus</w:t>
            </w:r>
            <w:proofErr w:type="spellEnd"/>
            <w:r>
              <w:t xml:space="preserve"> </w:t>
            </w:r>
            <w:r>
              <w:rPr>
                <w:i/>
              </w:rPr>
              <w:t>(</w:t>
            </w:r>
            <w:proofErr w:type="spellStart"/>
            <w:r>
              <w:rPr>
                <w:i/>
              </w:rPr>
              <w:t>Advagraf</w:t>
            </w:r>
            <w:proofErr w:type="spellEnd"/>
            <w:r>
              <w:rPr>
                <w:i/>
              </w:rPr>
              <w:t xml:space="preserve">®, </w:t>
            </w:r>
            <w:proofErr w:type="spellStart"/>
            <w:r>
              <w:rPr>
                <w:i/>
              </w:rPr>
              <w:t>Dailiport</w:t>
            </w:r>
            <w:proofErr w:type="spellEnd"/>
            <w:r>
              <w:rPr>
                <w:i/>
              </w:rPr>
              <w:t xml:space="preserve">®, </w:t>
            </w:r>
            <w:proofErr w:type="spellStart"/>
            <w:r>
              <w:rPr>
                <w:i/>
              </w:rPr>
              <w:t>Envarsus</w:t>
            </w:r>
            <w:proofErr w:type="spellEnd"/>
            <w:r>
              <w:rPr>
                <w:i/>
              </w:rPr>
              <w:t xml:space="preserve">® </w:t>
            </w:r>
            <w:proofErr w:type="spellStart"/>
            <w:r>
              <w:rPr>
                <w:i/>
              </w:rPr>
              <w:t>Modigraf</w:t>
            </w:r>
            <w:proofErr w:type="spellEnd"/>
            <w:r>
              <w:rPr>
                <w:i/>
              </w:rPr>
              <w:t>®,</w:t>
            </w:r>
            <w:proofErr w:type="spellStart"/>
            <w:r>
              <w:rPr>
                <w:i/>
              </w:rPr>
              <w:t>Prograf</w:t>
            </w:r>
            <w:proofErr w:type="spellEnd"/>
            <w:r>
              <w:rPr>
                <w:i/>
              </w:rPr>
              <w:t xml:space="preserve">®, </w:t>
            </w:r>
            <w:proofErr w:type="spellStart"/>
            <w:r>
              <w:rPr>
                <w:i/>
              </w:rPr>
              <w:t>Tacforius</w:t>
            </w:r>
            <w:proofErr w:type="spellEnd"/>
            <w:r>
              <w:rPr>
                <w:i/>
              </w:rPr>
              <w:t>®</w:t>
            </w:r>
          </w:p>
          <w:p w:rsidR="00AE2766" w:rsidRPr="00E01D9D" w:rsidRDefault="00AE2766" w:rsidP="00363E4B">
            <w:pPr>
              <w:shd w:val="clear" w:color="auto" w:fill="FFFFFF" w:themeFill="background1"/>
              <w:rPr>
                <w:i/>
                <w:sz w:val="12"/>
                <w:szCs w:val="12"/>
              </w:rPr>
            </w:pPr>
          </w:p>
          <w:p w:rsidR="00AE2766" w:rsidRPr="00570A55" w:rsidRDefault="00AE2766" w:rsidP="00363E4B">
            <w:pPr>
              <w:tabs>
                <w:tab w:val="left" w:pos="2830"/>
              </w:tabs>
              <w:rPr>
                <w:i/>
              </w:rPr>
            </w:pPr>
            <w:proofErr w:type="spellStart"/>
            <w:r w:rsidRPr="00A26549">
              <w:rPr>
                <w:b/>
              </w:rPr>
              <w:t>Everolimus</w:t>
            </w:r>
            <w:proofErr w:type="spellEnd"/>
            <w:r>
              <w:t xml:space="preserve"> </w:t>
            </w:r>
            <w:r>
              <w:rPr>
                <w:i/>
              </w:rPr>
              <w:t>(</w:t>
            </w:r>
            <w:proofErr w:type="spellStart"/>
            <w:r>
              <w:rPr>
                <w:i/>
              </w:rPr>
              <w:t>Afinitor</w:t>
            </w:r>
            <w:proofErr w:type="spellEnd"/>
            <w:r>
              <w:rPr>
                <w:i/>
              </w:rPr>
              <w:t xml:space="preserve">®, </w:t>
            </w:r>
            <w:proofErr w:type="spellStart"/>
            <w:r>
              <w:rPr>
                <w:i/>
              </w:rPr>
              <w:t>Certican</w:t>
            </w:r>
            <w:proofErr w:type="spellEnd"/>
            <w:r>
              <w:rPr>
                <w:i/>
              </w:rPr>
              <w:t xml:space="preserve">®, </w:t>
            </w:r>
            <w:proofErr w:type="spellStart"/>
            <w:r>
              <w:rPr>
                <w:i/>
              </w:rPr>
              <w:t>Votubia</w:t>
            </w:r>
            <w:proofErr w:type="spellEnd"/>
            <w:r>
              <w:rPr>
                <w:i/>
              </w:rPr>
              <w:t>®)</w:t>
            </w:r>
          </w:p>
        </w:tc>
        <w:tc>
          <w:tcPr>
            <w:tcW w:w="4621" w:type="dxa"/>
          </w:tcPr>
          <w:p w:rsidR="00AE2766" w:rsidRPr="00570A55" w:rsidRDefault="00AE2766" w:rsidP="00363E4B">
            <w:pPr>
              <w:shd w:val="clear" w:color="auto" w:fill="FFFFFF" w:themeFill="background1"/>
              <w:rPr>
                <w:i/>
              </w:rPr>
            </w:pPr>
            <w:r w:rsidRPr="00A26549">
              <w:rPr>
                <w:b/>
              </w:rPr>
              <w:t>Methotrexate</w:t>
            </w:r>
            <w:r>
              <w:t xml:space="preserve"> </w:t>
            </w:r>
            <w:r>
              <w:rPr>
                <w:i/>
              </w:rPr>
              <w:t>(</w:t>
            </w:r>
            <w:proofErr w:type="spellStart"/>
            <w:r>
              <w:rPr>
                <w:i/>
              </w:rPr>
              <w:t>Methofill</w:t>
            </w:r>
            <w:proofErr w:type="spellEnd"/>
            <w:r>
              <w:rPr>
                <w:i/>
              </w:rPr>
              <w:t xml:space="preserve">®, </w:t>
            </w:r>
            <w:proofErr w:type="spellStart"/>
            <w:r>
              <w:rPr>
                <w:i/>
              </w:rPr>
              <w:t>Jylamvo</w:t>
            </w:r>
            <w:proofErr w:type="spellEnd"/>
            <w:r>
              <w:rPr>
                <w:i/>
              </w:rPr>
              <w:t xml:space="preserve">®, </w:t>
            </w:r>
            <w:proofErr w:type="spellStart"/>
            <w:r>
              <w:rPr>
                <w:i/>
              </w:rPr>
              <w:t>Metoject</w:t>
            </w:r>
            <w:proofErr w:type="spellEnd"/>
            <w:r>
              <w:rPr>
                <w:i/>
              </w:rPr>
              <w:t xml:space="preserve">®, </w:t>
            </w:r>
            <w:proofErr w:type="spellStart"/>
            <w:r>
              <w:rPr>
                <w:i/>
              </w:rPr>
              <w:t>Nordimet</w:t>
            </w:r>
            <w:proofErr w:type="spellEnd"/>
            <w:r>
              <w:rPr>
                <w:i/>
              </w:rPr>
              <w:t>®)</w:t>
            </w:r>
          </w:p>
          <w:p w:rsidR="00AE2766" w:rsidRPr="00E01D9D" w:rsidRDefault="00AE2766" w:rsidP="00363E4B">
            <w:pPr>
              <w:shd w:val="clear" w:color="auto" w:fill="FFFFFF" w:themeFill="background1"/>
              <w:rPr>
                <w:sz w:val="12"/>
                <w:szCs w:val="12"/>
              </w:rPr>
            </w:pPr>
          </w:p>
          <w:p w:rsidR="00AE2766" w:rsidRDefault="00AE2766" w:rsidP="00363E4B">
            <w:pPr>
              <w:shd w:val="clear" w:color="auto" w:fill="FFFFFF" w:themeFill="background1"/>
              <w:rPr>
                <w:i/>
              </w:rPr>
            </w:pPr>
            <w:r w:rsidRPr="00A26549">
              <w:rPr>
                <w:b/>
              </w:rPr>
              <w:t>Cyclophosphamide</w:t>
            </w:r>
            <w:r>
              <w:t xml:space="preserve"> </w:t>
            </w:r>
            <w:r>
              <w:rPr>
                <w:i/>
              </w:rPr>
              <w:t>(</w:t>
            </w:r>
            <w:proofErr w:type="spellStart"/>
            <w:r>
              <w:rPr>
                <w:i/>
              </w:rPr>
              <w:t>Endoxana</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proofErr w:type="spellStart"/>
            <w:r w:rsidRPr="00A26549">
              <w:rPr>
                <w:b/>
              </w:rPr>
              <w:t>Leflunomide</w:t>
            </w:r>
            <w:proofErr w:type="spellEnd"/>
            <w:r>
              <w:t xml:space="preserve"> </w:t>
            </w:r>
            <w:r>
              <w:rPr>
                <w:i/>
              </w:rPr>
              <w:t>(</w:t>
            </w:r>
            <w:proofErr w:type="spellStart"/>
            <w:r>
              <w:rPr>
                <w:i/>
              </w:rPr>
              <w:t>Arava</w:t>
            </w:r>
            <w:proofErr w:type="spellEnd"/>
            <w:r>
              <w:rPr>
                <w:i/>
              </w:rPr>
              <w:t xml:space="preserve">®, </w:t>
            </w:r>
            <w:proofErr w:type="spellStart"/>
            <w:r>
              <w:rPr>
                <w:i/>
              </w:rPr>
              <w:t>Repso</w:t>
            </w:r>
            <w:proofErr w:type="spellEnd"/>
            <w:r>
              <w:rPr>
                <w:i/>
              </w:rPr>
              <w:t>®)</w:t>
            </w:r>
          </w:p>
          <w:p w:rsidR="00AE2766" w:rsidRPr="00E01D9D" w:rsidRDefault="00AE2766" w:rsidP="00363E4B">
            <w:pPr>
              <w:shd w:val="clear" w:color="auto" w:fill="FFFFFF" w:themeFill="background1"/>
              <w:rPr>
                <w:i/>
                <w:sz w:val="12"/>
                <w:szCs w:val="12"/>
              </w:rPr>
            </w:pPr>
          </w:p>
          <w:p w:rsidR="00AE2766" w:rsidRPr="00A26549" w:rsidRDefault="00AE2766" w:rsidP="00363E4B">
            <w:pPr>
              <w:shd w:val="clear" w:color="auto" w:fill="FFFFFF" w:themeFill="background1"/>
              <w:rPr>
                <w:b/>
              </w:rPr>
            </w:pPr>
            <w:proofErr w:type="spellStart"/>
            <w:r w:rsidRPr="00A26549">
              <w:rPr>
                <w:b/>
              </w:rPr>
              <w:t>Tenflunomide</w:t>
            </w:r>
            <w:proofErr w:type="spellEnd"/>
          </w:p>
          <w:p w:rsidR="00AE2766" w:rsidRPr="00E01D9D" w:rsidRDefault="00AE2766" w:rsidP="00363E4B">
            <w:pPr>
              <w:tabs>
                <w:tab w:val="left" w:pos="2830"/>
              </w:tabs>
              <w:rPr>
                <w:rFonts w:ascii="Calibri" w:eastAsia="Times New Roman" w:hAnsi="Calibri" w:cs="Calibri"/>
                <w:color w:val="000000"/>
                <w:sz w:val="12"/>
                <w:szCs w:val="12"/>
                <w:lang w:val="en-IE" w:eastAsia="en-GB"/>
              </w:rPr>
            </w:pPr>
          </w:p>
          <w:p w:rsidR="00AE2766" w:rsidRPr="00570A55" w:rsidRDefault="00AE2766" w:rsidP="00363E4B">
            <w:pPr>
              <w:tabs>
                <w:tab w:val="left" w:pos="2830"/>
              </w:tabs>
              <w:rPr>
                <w:i/>
              </w:rPr>
            </w:pPr>
            <w:r w:rsidRPr="00E01D9D">
              <w:rPr>
                <w:rFonts w:ascii="Calibri" w:eastAsia="Times New Roman" w:hAnsi="Calibri" w:cs="Calibri"/>
                <w:b/>
                <w:color w:val="000000"/>
                <w:lang w:val="en-IE" w:eastAsia="en-GB"/>
              </w:rPr>
              <w:t xml:space="preserve">Dimethyl </w:t>
            </w:r>
            <w:proofErr w:type="spellStart"/>
            <w:r w:rsidRPr="00E01D9D">
              <w:rPr>
                <w:rFonts w:ascii="Calibri" w:eastAsia="Times New Roman" w:hAnsi="Calibri" w:cs="Calibri"/>
                <w:b/>
                <w:color w:val="000000"/>
                <w:lang w:val="en-IE" w:eastAsia="en-GB"/>
              </w:rPr>
              <w:t>Fumarate</w:t>
            </w:r>
            <w:proofErr w:type="spellEnd"/>
            <w:r w:rsidRPr="00E01D9D">
              <w:rPr>
                <w:rFonts w:ascii="Calibri" w:eastAsia="Times New Roman" w:hAnsi="Calibri" w:cs="Calibri"/>
                <w:color w:val="000000"/>
                <w:lang w:val="en-IE" w:eastAsia="en-GB"/>
              </w:rPr>
              <w:t xml:space="preserve"> (</w:t>
            </w:r>
            <w:proofErr w:type="spellStart"/>
            <w:r w:rsidRPr="00E01D9D">
              <w:rPr>
                <w:rFonts w:ascii="Calibri" w:eastAsia="Times New Roman" w:hAnsi="Calibri" w:cs="Calibri"/>
                <w:i/>
                <w:color w:val="000000"/>
                <w:lang w:val="en-IE" w:eastAsia="en-GB"/>
              </w:rPr>
              <w:t>Skilarence</w:t>
            </w:r>
            <w:proofErr w:type="spellEnd"/>
            <w:r w:rsidRPr="00E01D9D">
              <w:rPr>
                <w:rFonts w:ascii="Calibri" w:eastAsia="Times New Roman" w:hAnsi="Calibri" w:cs="Calibri"/>
                <w:i/>
                <w:color w:val="000000"/>
                <w:lang w:val="en-IE" w:eastAsia="en-GB"/>
              </w:rPr>
              <w:t xml:space="preserve">®, </w:t>
            </w:r>
            <w:proofErr w:type="spellStart"/>
            <w:r w:rsidRPr="00E01D9D">
              <w:rPr>
                <w:rFonts w:ascii="Calibri" w:eastAsia="Times New Roman" w:hAnsi="Calibri" w:cs="Calibri"/>
                <w:i/>
                <w:color w:val="000000"/>
                <w:lang w:val="en-IE" w:eastAsia="en-GB"/>
              </w:rPr>
              <w:t>Tecfidera</w:t>
            </w:r>
            <w:proofErr w:type="spellEnd"/>
            <w:r w:rsidRPr="00E01D9D">
              <w:rPr>
                <w:rFonts w:ascii="Calibri" w:eastAsia="Times New Roman" w:hAnsi="Calibri" w:cs="Calibri"/>
                <w:i/>
                <w:color w:val="000000"/>
                <w:lang w:val="en-IE" w:eastAsia="en-GB"/>
              </w:rPr>
              <w:t>®)</w:t>
            </w:r>
          </w:p>
        </w:tc>
      </w:tr>
      <w:tr w:rsidR="00AE2766" w:rsidRPr="005741D2" w:rsidTr="00363E4B">
        <w:tc>
          <w:tcPr>
            <w:tcW w:w="4621" w:type="dxa"/>
          </w:tcPr>
          <w:p w:rsidR="00AE2766" w:rsidRPr="005741D2" w:rsidRDefault="00AE2766" w:rsidP="00363E4B">
            <w:pPr>
              <w:shd w:val="clear" w:color="auto" w:fill="FFFFFF" w:themeFill="background1"/>
              <w:rPr>
                <w:b/>
                <w:sz w:val="24"/>
              </w:rPr>
            </w:pPr>
            <w:r w:rsidRPr="005741D2">
              <w:rPr>
                <w:b/>
                <w:sz w:val="24"/>
              </w:rPr>
              <w:t>Biological agents</w:t>
            </w:r>
          </w:p>
        </w:tc>
        <w:tc>
          <w:tcPr>
            <w:tcW w:w="4621" w:type="dxa"/>
          </w:tcPr>
          <w:p w:rsidR="00AE2766" w:rsidRPr="005741D2" w:rsidRDefault="00AE2766" w:rsidP="00363E4B">
            <w:pPr>
              <w:tabs>
                <w:tab w:val="left" w:pos="2830"/>
              </w:tabs>
              <w:rPr>
                <w:sz w:val="24"/>
              </w:rPr>
            </w:pPr>
          </w:p>
        </w:tc>
      </w:tr>
      <w:tr w:rsidR="00AE2766" w:rsidTr="00363E4B">
        <w:tc>
          <w:tcPr>
            <w:tcW w:w="4621" w:type="dxa"/>
          </w:tcPr>
          <w:p w:rsidR="00AE2766" w:rsidRPr="005741D2" w:rsidRDefault="00AE2766" w:rsidP="00363E4B">
            <w:pPr>
              <w:shd w:val="clear" w:color="auto" w:fill="FFFFFF" w:themeFill="background1"/>
              <w:rPr>
                <w:b/>
                <w:sz w:val="24"/>
              </w:rPr>
            </w:pPr>
            <w:r w:rsidRPr="005741D2">
              <w:rPr>
                <w:b/>
                <w:sz w:val="24"/>
              </w:rPr>
              <w:t>TNF alpha inhibitors</w:t>
            </w:r>
          </w:p>
          <w:p w:rsidR="00AE2766" w:rsidRDefault="00AE2766" w:rsidP="00363E4B">
            <w:pPr>
              <w:shd w:val="clear" w:color="auto" w:fill="FFFFFF" w:themeFill="background1"/>
              <w:rPr>
                <w:i/>
              </w:rPr>
            </w:pPr>
            <w:proofErr w:type="spellStart"/>
            <w:r w:rsidRPr="00A26549">
              <w:rPr>
                <w:b/>
              </w:rPr>
              <w:t>Adalimumab</w:t>
            </w:r>
            <w:proofErr w:type="spellEnd"/>
            <w:r>
              <w:t xml:space="preserve"> </w:t>
            </w:r>
            <w:r w:rsidRPr="00570A55">
              <w:rPr>
                <w:i/>
              </w:rPr>
              <w:t>(</w:t>
            </w:r>
            <w:proofErr w:type="spellStart"/>
            <w:r w:rsidRPr="00570A55">
              <w:rPr>
                <w:i/>
              </w:rPr>
              <w:t>Amgevita</w:t>
            </w:r>
            <w:proofErr w:type="spellEnd"/>
            <w:r>
              <w:rPr>
                <w:i/>
              </w:rPr>
              <w:t xml:space="preserve">®, </w:t>
            </w:r>
            <w:proofErr w:type="spellStart"/>
            <w:r>
              <w:rPr>
                <w:i/>
              </w:rPr>
              <w:t>Amsparity</w:t>
            </w:r>
            <w:proofErr w:type="spellEnd"/>
            <w:r>
              <w:rPr>
                <w:i/>
              </w:rPr>
              <w:t>®,</w:t>
            </w:r>
            <w:proofErr w:type="spellStart"/>
            <w:r>
              <w:rPr>
                <w:i/>
              </w:rPr>
              <w:t>Halimatoz</w:t>
            </w:r>
            <w:proofErr w:type="spellEnd"/>
            <w:r>
              <w:rPr>
                <w:i/>
              </w:rPr>
              <w:t xml:space="preserve">®, </w:t>
            </w:r>
            <w:proofErr w:type="spellStart"/>
            <w:r>
              <w:rPr>
                <w:i/>
              </w:rPr>
              <w:t>Hefiya</w:t>
            </w:r>
            <w:proofErr w:type="spellEnd"/>
            <w:r>
              <w:rPr>
                <w:i/>
              </w:rPr>
              <w:t xml:space="preserve">®, </w:t>
            </w:r>
            <w:proofErr w:type="spellStart"/>
            <w:r>
              <w:rPr>
                <w:i/>
              </w:rPr>
              <w:t>Hulio</w:t>
            </w:r>
            <w:proofErr w:type="spellEnd"/>
            <w:r>
              <w:rPr>
                <w:i/>
              </w:rPr>
              <w:t xml:space="preserve">®, </w:t>
            </w:r>
            <w:proofErr w:type="spellStart"/>
            <w:r>
              <w:rPr>
                <w:i/>
              </w:rPr>
              <w:t>Humira</w:t>
            </w:r>
            <w:proofErr w:type="spellEnd"/>
            <w:r>
              <w:rPr>
                <w:i/>
              </w:rPr>
              <w:t xml:space="preserve">®, </w:t>
            </w:r>
            <w:proofErr w:type="spellStart"/>
            <w:r>
              <w:rPr>
                <w:i/>
              </w:rPr>
              <w:t>Hyrimoz</w:t>
            </w:r>
            <w:proofErr w:type="spellEnd"/>
            <w:r>
              <w:rPr>
                <w:i/>
              </w:rPr>
              <w:t xml:space="preserve">®, </w:t>
            </w:r>
            <w:proofErr w:type="spellStart"/>
            <w:r>
              <w:rPr>
                <w:i/>
              </w:rPr>
              <w:t>Idacio</w:t>
            </w:r>
            <w:proofErr w:type="spellEnd"/>
            <w:r>
              <w:rPr>
                <w:i/>
              </w:rPr>
              <w:t xml:space="preserve">®, </w:t>
            </w:r>
            <w:proofErr w:type="spellStart"/>
            <w:r>
              <w:rPr>
                <w:i/>
              </w:rPr>
              <w:t>Imraldi</w:t>
            </w:r>
            <w:proofErr w:type="spellEnd"/>
            <w:r>
              <w:rPr>
                <w:i/>
              </w:rPr>
              <w:t>®)</w:t>
            </w:r>
          </w:p>
          <w:p w:rsidR="00AE2766" w:rsidRPr="00E01D9D" w:rsidRDefault="00AE2766" w:rsidP="00363E4B">
            <w:pPr>
              <w:shd w:val="clear" w:color="auto" w:fill="FFFFFF" w:themeFill="background1"/>
              <w:rPr>
                <w:i/>
                <w:sz w:val="12"/>
                <w:szCs w:val="12"/>
              </w:rPr>
            </w:pPr>
            <w:r>
              <w:rPr>
                <w:i/>
              </w:rPr>
              <w:t xml:space="preserve"> </w:t>
            </w:r>
          </w:p>
          <w:p w:rsidR="00AE2766" w:rsidRDefault="00AE2766" w:rsidP="00363E4B">
            <w:pPr>
              <w:shd w:val="clear" w:color="auto" w:fill="FFFFFF" w:themeFill="background1"/>
              <w:rPr>
                <w:i/>
              </w:rPr>
            </w:pPr>
            <w:proofErr w:type="spellStart"/>
            <w:r w:rsidRPr="00A26549">
              <w:rPr>
                <w:b/>
              </w:rPr>
              <w:t>Etanercept</w:t>
            </w:r>
            <w:proofErr w:type="spellEnd"/>
            <w:r>
              <w:t xml:space="preserve"> </w:t>
            </w:r>
            <w:r>
              <w:rPr>
                <w:i/>
              </w:rPr>
              <w:t>(</w:t>
            </w:r>
            <w:proofErr w:type="spellStart"/>
            <w:r>
              <w:rPr>
                <w:i/>
              </w:rPr>
              <w:t>Benepali</w:t>
            </w:r>
            <w:proofErr w:type="spellEnd"/>
            <w:r>
              <w:rPr>
                <w:i/>
              </w:rPr>
              <w:t xml:space="preserve">®,Enbrel®, </w:t>
            </w:r>
            <w:proofErr w:type="spellStart"/>
            <w:r>
              <w:rPr>
                <w:i/>
              </w:rPr>
              <w:t>Erelzi</w:t>
            </w:r>
            <w:proofErr w:type="spellEnd"/>
            <w:r>
              <w:rPr>
                <w:i/>
              </w:rPr>
              <w:t xml:space="preserve">®, </w:t>
            </w:r>
            <w:proofErr w:type="spellStart"/>
            <w:r>
              <w:rPr>
                <w:i/>
              </w:rPr>
              <w:t>Lifmior</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r w:rsidRPr="00A26549">
              <w:rPr>
                <w:b/>
              </w:rPr>
              <w:t>Infliximab</w:t>
            </w:r>
            <w:r>
              <w:t xml:space="preserve"> </w:t>
            </w:r>
            <w:r>
              <w:rPr>
                <w:i/>
              </w:rPr>
              <w:t>(</w:t>
            </w:r>
            <w:proofErr w:type="spellStart"/>
            <w:r>
              <w:rPr>
                <w:i/>
              </w:rPr>
              <w:t>Flixabi</w:t>
            </w:r>
            <w:proofErr w:type="spellEnd"/>
            <w:r>
              <w:rPr>
                <w:i/>
              </w:rPr>
              <w:t xml:space="preserve">®, </w:t>
            </w:r>
            <w:proofErr w:type="spellStart"/>
            <w:r>
              <w:rPr>
                <w:i/>
              </w:rPr>
              <w:t>Inflectra</w:t>
            </w:r>
            <w:proofErr w:type="spellEnd"/>
            <w:r>
              <w:rPr>
                <w:i/>
              </w:rPr>
              <w:t xml:space="preserve">®, </w:t>
            </w:r>
            <w:proofErr w:type="spellStart"/>
            <w:r>
              <w:rPr>
                <w:i/>
              </w:rPr>
              <w:t>Remicade</w:t>
            </w:r>
            <w:proofErr w:type="spellEnd"/>
            <w:r>
              <w:rPr>
                <w:i/>
              </w:rPr>
              <w:t xml:space="preserve">®, </w:t>
            </w:r>
            <w:proofErr w:type="spellStart"/>
            <w:r>
              <w:rPr>
                <w:i/>
              </w:rPr>
              <w:t>Remsima</w:t>
            </w:r>
            <w:proofErr w:type="spellEnd"/>
            <w:r>
              <w:rPr>
                <w:i/>
              </w:rPr>
              <w:t xml:space="preserve">®, </w:t>
            </w:r>
            <w:proofErr w:type="spellStart"/>
            <w:r>
              <w:rPr>
                <w:i/>
              </w:rPr>
              <w:t>Zessly</w:t>
            </w:r>
            <w:proofErr w:type="spellEnd"/>
            <w:r>
              <w:rPr>
                <w:i/>
              </w:rPr>
              <w:t>®)</w:t>
            </w:r>
          </w:p>
          <w:p w:rsidR="00AE2766" w:rsidRPr="00E01D9D" w:rsidRDefault="00AE2766" w:rsidP="00363E4B">
            <w:pPr>
              <w:shd w:val="clear" w:color="auto" w:fill="FFFFFF" w:themeFill="background1"/>
              <w:rPr>
                <w:i/>
                <w:sz w:val="12"/>
                <w:szCs w:val="12"/>
              </w:rPr>
            </w:pPr>
            <w:r>
              <w:rPr>
                <w:i/>
              </w:rPr>
              <w:t xml:space="preserve"> </w:t>
            </w:r>
          </w:p>
          <w:p w:rsidR="00AE2766" w:rsidRDefault="00AE2766" w:rsidP="00363E4B">
            <w:pPr>
              <w:shd w:val="clear" w:color="auto" w:fill="FFFFFF" w:themeFill="background1"/>
              <w:rPr>
                <w:i/>
              </w:rPr>
            </w:pPr>
            <w:proofErr w:type="spellStart"/>
            <w:r w:rsidRPr="00A26549">
              <w:rPr>
                <w:b/>
              </w:rPr>
              <w:t>Certolizumab</w:t>
            </w:r>
            <w:proofErr w:type="spellEnd"/>
            <w:r>
              <w:t xml:space="preserve"> </w:t>
            </w:r>
            <w:r>
              <w:rPr>
                <w:i/>
              </w:rPr>
              <w:t>(</w:t>
            </w:r>
            <w:proofErr w:type="spellStart"/>
            <w:r>
              <w:rPr>
                <w:i/>
              </w:rPr>
              <w:t>Cimzia</w:t>
            </w:r>
            <w:proofErr w:type="spellEnd"/>
            <w:r>
              <w:rPr>
                <w:i/>
              </w:rPr>
              <w:t>®)</w:t>
            </w:r>
          </w:p>
          <w:p w:rsidR="00AE2766" w:rsidRPr="00E01D9D" w:rsidRDefault="00AE2766" w:rsidP="00363E4B">
            <w:pPr>
              <w:shd w:val="clear" w:color="auto" w:fill="FFFFFF" w:themeFill="background1"/>
              <w:rPr>
                <w:i/>
                <w:sz w:val="12"/>
                <w:szCs w:val="12"/>
              </w:rPr>
            </w:pPr>
          </w:p>
          <w:p w:rsidR="00AE2766" w:rsidRPr="00BA117D" w:rsidRDefault="00AE2766" w:rsidP="00363E4B">
            <w:pPr>
              <w:shd w:val="clear" w:color="auto" w:fill="FFFFFF" w:themeFill="background1"/>
              <w:rPr>
                <w:i/>
              </w:rPr>
            </w:pPr>
            <w:proofErr w:type="spellStart"/>
            <w:r w:rsidRPr="00A26549">
              <w:rPr>
                <w:b/>
              </w:rPr>
              <w:t>Golimumab</w:t>
            </w:r>
            <w:proofErr w:type="spellEnd"/>
            <w:r>
              <w:t xml:space="preserve"> </w:t>
            </w:r>
            <w:r>
              <w:rPr>
                <w:i/>
              </w:rPr>
              <w:t>(</w:t>
            </w:r>
            <w:proofErr w:type="spellStart"/>
            <w:r>
              <w:rPr>
                <w:i/>
              </w:rPr>
              <w:t>Simponi</w:t>
            </w:r>
            <w:proofErr w:type="spellEnd"/>
            <w:r>
              <w:rPr>
                <w:i/>
              </w:rPr>
              <w:t>®)</w:t>
            </w:r>
          </w:p>
        </w:tc>
        <w:tc>
          <w:tcPr>
            <w:tcW w:w="4621" w:type="dxa"/>
          </w:tcPr>
          <w:p w:rsidR="00AE2766" w:rsidRPr="005741D2" w:rsidRDefault="00AE2766" w:rsidP="00363E4B">
            <w:pPr>
              <w:shd w:val="clear" w:color="auto" w:fill="FFFFFF" w:themeFill="background1"/>
              <w:rPr>
                <w:b/>
                <w:sz w:val="24"/>
              </w:rPr>
            </w:pPr>
            <w:r w:rsidRPr="005741D2">
              <w:rPr>
                <w:b/>
                <w:sz w:val="24"/>
              </w:rPr>
              <w:t xml:space="preserve">Biological agents for multiple sclerosis </w:t>
            </w:r>
          </w:p>
          <w:p w:rsidR="00AE2766" w:rsidRDefault="00AE2766" w:rsidP="00363E4B">
            <w:pPr>
              <w:shd w:val="clear" w:color="auto" w:fill="FFFFFF" w:themeFill="background1"/>
              <w:rPr>
                <w:i/>
              </w:rPr>
            </w:pPr>
            <w:proofErr w:type="spellStart"/>
            <w:r w:rsidRPr="00A26549">
              <w:rPr>
                <w:b/>
              </w:rPr>
              <w:t>Fingolimod</w:t>
            </w:r>
            <w:proofErr w:type="spellEnd"/>
            <w:r>
              <w:t xml:space="preserve"> </w:t>
            </w:r>
            <w:r>
              <w:rPr>
                <w:i/>
              </w:rPr>
              <w:t>(</w:t>
            </w:r>
            <w:proofErr w:type="spellStart"/>
            <w:r>
              <w:rPr>
                <w:i/>
              </w:rPr>
              <w:t>Gilenya</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proofErr w:type="spellStart"/>
            <w:r w:rsidRPr="00A26549">
              <w:rPr>
                <w:b/>
              </w:rPr>
              <w:t>Natalizumab</w:t>
            </w:r>
            <w:proofErr w:type="spellEnd"/>
            <w:r>
              <w:t xml:space="preserve"> </w:t>
            </w:r>
            <w:r>
              <w:rPr>
                <w:i/>
              </w:rPr>
              <w:t>(</w:t>
            </w:r>
            <w:proofErr w:type="spellStart"/>
            <w:r>
              <w:rPr>
                <w:i/>
              </w:rPr>
              <w:t>Tysabri</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proofErr w:type="spellStart"/>
            <w:r w:rsidRPr="00A26549">
              <w:rPr>
                <w:b/>
              </w:rPr>
              <w:t>Alemtuzumab</w:t>
            </w:r>
            <w:proofErr w:type="spellEnd"/>
            <w:r>
              <w:t xml:space="preserve"> </w:t>
            </w:r>
            <w:r>
              <w:rPr>
                <w:i/>
              </w:rPr>
              <w:t>(</w:t>
            </w:r>
            <w:proofErr w:type="spellStart"/>
            <w:r>
              <w:rPr>
                <w:i/>
              </w:rPr>
              <w:t>Lemtrada</w:t>
            </w:r>
            <w:proofErr w:type="spellEnd"/>
            <w:r>
              <w:rPr>
                <w:i/>
              </w:rPr>
              <w:t>®)</w:t>
            </w:r>
          </w:p>
          <w:p w:rsidR="00AE2766" w:rsidRPr="00E01D9D" w:rsidRDefault="00AE2766" w:rsidP="00363E4B">
            <w:pPr>
              <w:shd w:val="clear" w:color="auto" w:fill="FFFFFF" w:themeFill="background1"/>
              <w:rPr>
                <w:i/>
                <w:sz w:val="12"/>
                <w:szCs w:val="12"/>
              </w:rPr>
            </w:pPr>
          </w:p>
          <w:p w:rsidR="00AE2766" w:rsidRPr="00A26549" w:rsidRDefault="00AE2766" w:rsidP="00363E4B">
            <w:pPr>
              <w:shd w:val="clear" w:color="auto" w:fill="FFFFFF" w:themeFill="background1"/>
              <w:rPr>
                <w:b/>
              </w:rPr>
            </w:pPr>
            <w:proofErr w:type="spellStart"/>
            <w:r w:rsidRPr="00A26549">
              <w:rPr>
                <w:b/>
              </w:rPr>
              <w:t>Daclizumab</w:t>
            </w:r>
            <w:proofErr w:type="spellEnd"/>
          </w:p>
          <w:p w:rsidR="00AE2766" w:rsidRPr="00E01D9D" w:rsidRDefault="00AE2766" w:rsidP="00363E4B">
            <w:pPr>
              <w:shd w:val="clear" w:color="auto" w:fill="FFFFFF" w:themeFill="background1"/>
              <w:rPr>
                <w:sz w:val="12"/>
                <w:szCs w:val="12"/>
              </w:rPr>
            </w:pPr>
          </w:p>
          <w:p w:rsidR="00AE2766" w:rsidRDefault="00AE2766" w:rsidP="00363E4B">
            <w:pPr>
              <w:tabs>
                <w:tab w:val="left" w:pos="2830"/>
              </w:tabs>
            </w:pPr>
            <w:r w:rsidRPr="00E01D9D">
              <w:rPr>
                <w:rFonts w:ascii="Calibri" w:eastAsia="Times New Roman" w:hAnsi="Calibri" w:cs="Calibri"/>
                <w:b/>
                <w:color w:val="000000"/>
                <w:szCs w:val="24"/>
                <w:lang w:val="en-IE" w:eastAsia="en-GB"/>
              </w:rPr>
              <w:t xml:space="preserve">Dimethyl </w:t>
            </w:r>
            <w:proofErr w:type="spellStart"/>
            <w:r w:rsidRPr="00E01D9D">
              <w:rPr>
                <w:rFonts w:ascii="Calibri" w:eastAsia="Times New Roman" w:hAnsi="Calibri" w:cs="Calibri"/>
                <w:b/>
                <w:color w:val="000000"/>
                <w:szCs w:val="24"/>
                <w:lang w:val="en-IE" w:eastAsia="en-GB"/>
              </w:rPr>
              <w:t>Fumarate</w:t>
            </w:r>
            <w:proofErr w:type="spellEnd"/>
            <w:r w:rsidRPr="00E01D9D">
              <w:rPr>
                <w:rFonts w:ascii="Calibri" w:eastAsia="Times New Roman" w:hAnsi="Calibri" w:cs="Calibri"/>
                <w:color w:val="000000"/>
                <w:szCs w:val="24"/>
                <w:lang w:val="en-IE" w:eastAsia="en-GB"/>
              </w:rPr>
              <w:t xml:space="preserve"> (</w:t>
            </w:r>
            <w:proofErr w:type="spellStart"/>
            <w:r w:rsidRPr="00E01D9D">
              <w:rPr>
                <w:rFonts w:ascii="Calibri" w:eastAsia="Times New Roman" w:hAnsi="Calibri" w:cs="Calibri"/>
                <w:i/>
                <w:color w:val="000000"/>
                <w:szCs w:val="24"/>
                <w:lang w:val="en-IE" w:eastAsia="en-GB"/>
              </w:rPr>
              <w:t>Skilarence</w:t>
            </w:r>
            <w:proofErr w:type="spellEnd"/>
            <w:r w:rsidRPr="00E01D9D">
              <w:rPr>
                <w:rFonts w:ascii="Calibri" w:eastAsia="Times New Roman" w:hAnsi="Calibri" w:cs="Calibri"/>
                <w:i/>
                <w:color w:val="000000"/>
                <w:szCs w:val="24"/>
                <w:lang w:val="en-IE" w:eastAsia="en-GB"/>
              </w:rPr>
              <w:t xml:space="preserve">®, </w:t>
            </w:r>
            <w:proofErr w:type="spellStart"/>
            <w:r w:rsidRPr="00E01D9D">
              <w:rPr>
                <w:rFonts w:ascii="Calibri" w:eastAsia="Times New Roman" w:hAnsi="Calibri" w:cs="Calibri"/>
                <w:i/>
                <w:color w:val="000000"/>
                <w:szCs w:val="24"/>
                <w:lang w:val="en-IE" w:eastAsia="en-GB"/>
              </w:rPr>
              <w:t>Tecfidera</w:t>
            </w:r>
            <w:proofErr w:type="spellEnd"/>
            <w:r w:rsidRPr="00E01D9D">
              <w:rPr>
                <w:rFonts w:ascii="Calibri" w:eastAsia="Times New Roman" w:hAnsi="Calibri" w:cs="Calibri"/>
                <w:i/>
                <w:color w:val="000000"/>
                <w:szCs w:val="24"/>
                <w:lang w:val="en-IE" w:eastAsia="en-GB"/>
              </w:rPr>
              <w:t>®)</w:t>
            </w:r>
          </w:p>
        </w:tc>
      </w:tr>
      <w:tr w:rsidR="00AE2766" w:rsidTr="00363E4B">
        <w:tc>
          <w:tcPr>
            <w:tcW w:w="4621" w:type="dxa"/>
          </w:tcPr>
          <w:p w:rsidR="00AE2766" w:rsidRPr="005741D2" w:rsidRDefault="00AE2766" w:rsidP="00363E4B">
            <w:pPr>
              <w:shd w:val="clear" w:color="auto" w:fill="FFFFFF" w:themeFill="background1"/>
              <w:rPr>
                <w:b/>
                <w:sz w:val="24"/>
              </w:rPr>
            </w:pPr>
            <w:r w:rsidRPr="005741D2">
              <w:rPr>
                <w:b/>
                <w:sz w:val="24"/>
              </w:rPr>
              <w:t>Interleukin inhibitors</w:t>
            </w:r>
          </w:p>
          <w:p w:rsidR="00AE2766" w:rsidRPr="005741D2" w:rsidRDefault="00AE2766" w:rsidP="00363E4B">
            <w:pPr>
              <w:shd w:val="clear" w:color="auto" w:fill="FFFFFF" w:themeFill="background1"/>
              <w:rPr>
                <w:b/>
                <w:sz w:val="24"/>
              </w:rPr>
            </w:pPr>
            <w:r w:rsidRPr="005741D2">
              <w:rPr>
                <w:b/>
                <w:sz w:val="24"/>
              </w:rPr>
              <w:t>IL1</w:t>
            </w:r>
          </w:p>
          <w:p w:rsidR="00AE2766" w:rsidRDefault="00AE2766" w:rsidP="00363E4B">
            <w:pPr>
              <w:shd w:val="clear" w:color="auto" w:fill="FFFFFF" w:themeFill="background1"/>
              <w:rPr>
                <w:i/>
              </w:rPr>
            </w:pPr>
            <w:proofErr w:type="spellStart"/>
            <w:r w:rsidRPr="00A26549">
              <w:rPr>
                <w:b/>
              </w:rPr>
              <w:t>Anakinra</w:t>
            </w:r>
            <w:proofErr w:type="spellEnd"/>
            <w:r w:rsidRPr="00A26549">
              <w:rPr>
                <w:b/>
              </w:rPr>
              <w:t xml:space="preserve"> </w:t>
            </w:r>
            <w:r>
              <w:rPr>
                <w:i/>
              </w:rPr>
              <w:t>(</w:t>
            </w:r>
            <w:proofErr w:type="spellStart"/>
            <w:r>
              <w:rPr>
                <w:i/>
              </w:rPr>
              <w:t>Kineret</w:t>
            </w:r>
            <w:proofErr w:type="spellEnd"/>
            <w:r>
              <w:rPr>
                <w:i/>
              </w:rPr>
              <w:t>®)</w:t>
            </w:r>
          </w:p>
          <w:p w:rsidR="00AE2766" w:rsidRPr="00E01D9D" w:rsidRDefault="00AE2766" w:rsidP="00363E4B">
            <w:pPr>
              <w:shd w:val="clear" w:color="auto" w:fill="FFFFFF" w:themeFill="background1"/>
              <w:rPr>
                <w:i/>
                <w:sz w:val="12"/>
                <w:szCs w:val="12"/>
              </w:rPr>
            </w:pPr>
          </w:p>
          <w:p w:rsidR="00AE2766" w:rsidRPr="00BA117D" w:rsidRDefault="00AE2766" w:rsidP="00363E4B">
            <w:pPr>
              <w:shd w:val="clear" w:color="auto" w:fill="FFFFFF" w:themeFill="background1"/>
              <w:rPr>
                <w:i/>
              </w:rPr>
            </w:pPr>
            <w:proofErr w:type="spellStart"/>
            <w:r w:rsidRPr="00A26549">
              <w:rPr>
                <w:b/>
              </w:rPr>
              <w:t>Canakinumab</w:t>
            </w:r>
            <w:proofErr w:type="spellEnd"/>
            <w:r>
              <w:t xml:space="preserve"> </w:t>
            </w:r>
            <w:r>
              <w:rPr>
                <w:i/>
              </w:rPr>
              <w:t>(</w:t>
            </w:r>
            <w:proofErr w:type="spellStart"/>
            <w:r>
              <w:rPr>
                <w:i/>
              </w:rPr>
              <w:t>Ilaris</w:t>
            </w:r>
            <w:proofErr w:type="spellEnd"/>
            <w:r>
              <w:rPr>
                <w:i/>
              </w:rPr>
              <w:t>®)</w:t>
            </w:r>
          </w:p>
          <w:p w:rsidR="00AE2766" w:rsidRDefault="00AE2766" w:rsidP="00363E4B">
            <w:pPr>
              <w:shd w:val="clear" w:color="auto" w:fill="FFFFFF" w:themeFill="background1"/>
            </w:pPr>
          </w:p>
          <w:p w:rsidR="00AE2766" w:rsidRDefault="00AE2766" w:rsidP="00363E4B">
            <w:pPr>
              <w:shd w:val="clear" w:color="auto" w:fill="FFFFFF" w:themeFill="background1"/>
              <w:rPr>
                <w:b/>
              </w:rPr>
            </w:pPr>
          </w:p>
          <w:p w:rsidR="00AE2766" w:rsidRDefault="00AE2766" w:rsidP="00363E4B">
            <w:pPr>
              <w:shd w:val="clear" w:color="auto" w:fill="FFFFFF" w:themeFill="background1"/>
              <w:rPr>
                <w:b/>
              </w:rPr>
            </w:pPr>
          </w:p>
          <w:p w:rsidR="00AE2766" w:rsidRPr="005741D2" w:rsidRDefault="00AE2766" w:rsidP="00363E4B">
            <w:pPr>
              <w:shd w:val="clear" w:color="auto" w:fill="FFFFFF" w:themeFill="background1"/>
              <w:rPr>
                <w:b/>
                <w:sz w:val="24"/>
              </w:rPr>
            </w:pPr>
            <w:r w:rsidRPr="005741D2">
              <w:rPr>
                <w:b/>
                <w:sz w:val="24"/>
              </w:rPr>
              <w:t>Il-6</w:t>
            </w:r>
          </w:p>
          <w:p w:rsidR="00AE2766" w:rsidRPr="00E01D9D" w:rsidRDefault="00AE2766" w:rsidP="00363E4B">
            <w:pPr>
              <w:shd w:val="clear" w:color="auto" w:fill="FFFFFF" w:themeFill="background1"/>
              <w:rPr>
                <w:i/>
              </w:rPr>
            </w:pPr>
            <w:proofErr w:type="spellStart"/>
            <w:r w:rsidRPr="00A26549">
              <w:rPr>
                <w:b/>
              </w:rPr>
              <w:t>Tocilizumab</w:t>
            </w:r>
            <w:proofErr w:type="spellEnd"/>
            <w:r>
              <w:t xml:space="preserve"> </w:t>
            </w:r>
            <w:r>
              <w:rPr>
                <w:i/>
              </w:rPr>
              <w:t>(</w:t>
            </w:r>
            <w:proofErr w:type="spellStart"/>
            <w:r>
              <w:rPr>
                <w:i/>
              </w:rPr>
              <w:t>RoActemra</w:t>
            </w:r>
            <w:proofErr w:type="spellEnd"/>
            <w:r>
              <w:rPr>
                <w:i/>
              </w:rPr>
              <w:t>®)</w:t>
            </w:r>
          </w:p>
        </w:tc>
        <w:tc>
          <w:tcPr>
            <w:tcW w:w="4621" w:type="dxa"/>
          </w:tcPr>
          <w:p w:rsidR="00AE2766" w:rsidRPr="005741D2" w:rsidRDefault="00AE2766" w:rsidP="00363E4B">
            <w:pPr>
              <w:shd w:val="clear" w:color="auto" w:fill="FFFFFF" w:themeFill="background1"/>
              <w:rPr>
                <w:b/>
                <w:sz w:val="24"/>
              </w:rPr>
            </w:pPr>
            <w:r w:rsidRPr="005741D2">
              <w:rPr>
                <w:b/>
                <w:sz w:val="24"/>
              </w:rPr>
              <w:t>IL17/23</w:t>
            </w:r>
          </w:p>
          <w:p w:rsidR="00AE2766" w:rsidRDefault="00AE2766" w:rsidP="00363E4B">
            <w:pPr>
              <w:shd w:val="clear" w:color="auto" w:fill="FFFFFF" w:themeFill="background1"/>
              <w:rPr>
                <w:i/>
              </w:rPr>
            </w:pPr>
            <w:proofErr w:type="spellStart"/>
            <w:r w:rsidRPr="00A26549">
              <w:rPr>
                <w:b/>
              </w:rPr>
              <w:t>Ustekinumab</w:t>
            </w:r>
            <w:proofErr w:type="spellEnd"/>
            <w:r>
              <w:t xml:space="preserve"> </w:t>
            </w:r>
            <w:r>
              <w:rPr>
                <w:i/>
              </w:rPr>
              <w:t>(</w:t>
            </w:r>
            <w:proofErr w:type="spellStart"/>
            <w:r>
              <w:rPr>
                <w:i/>
              </w:rPr>
              <w:t>Stelara</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lang w:val="en-IE"/>
              </w:rPr>
            </w:pPr>
            <w:proofErr w:type="spellStart"/>
            <w:r w:rsidRPr="00A26549">
              <w:rPr>
                <w:b/>
                <w:lang w:val="en-IE"/>
              </w:rPr>
              <w:t>Guselkumab</w:t>
            </w:r>
            <w:proofErr w:type="spellEnd"/>
            <w:r>
              <w:rPr>
                <w:lang w:val="en-IE"/>
              </w:rPr>
              <w:t xml:space="preserve"> </w:t>
            </w:r>
            <w:r>
              <w:rPr>
                <w:i/>
                <w:lang w:val="en-IE"/>
              </w:rPr>
              <w:t>(</w:t>
            </w:r>
            <w:proofErr w:type="spellStart"/>
            <w:r>
              <w:rPr>
                <w:i/>
                <w:lang w:val="en-IE"/>
              </w:rPr>
              <w:t>Termfya</w:t>
            </w:r>
            <w:proofErr w:type="spellEnd"/>
            <w:r>
              <w:rPr>
                <w:i/>
                <w:lang w:val="en-IE"/>
              </w:rPr>
              <w:t>®)</w:t>
            </w:r>
          </w:p>
          <w:p w:rsidR="00AE2766" w:rsidRPr="00E01D9D" w:rsidRDefault="00AE2766" w:rsidP="00363E4B">
            <w:pPr>
              <w:shd w:val="clear" w:color="auto" w:fill="FFFFFF" w:themeFill="background1"/>
              <w:rPr>
                <w:i/>
                <w:sz w:val="12"/>
                <w:szCs w:val="12"/>
                <w:lang w:val="en-IE"/>
              </w:rPr>
            </w:pPr>
          </w:p>
          <w:p w:rsidR="00AE2766" w:rsidRDefault="00AE2766" w:rsidP="00363E4B">
            <w:pPr>
              <w:shd w:val="clear" w:color="auto" w:fill="FFFFFF" w:themeFill="background1"/>
              <w:rPr>
                <w:i/>
                <w:lang w:val="en-IE"/>
              </w:rPr>
            </w:pPr>
            <w:proofErr w:type="spellStart"/>
            <w:r w:rsidRPr="00A26549">
              <w:rPr>
                <w:b/>
                <w:lang w:val="en-IE"/>
              </w:rPr>
              <w:t>Tildrakizumab</w:t>
            </w:r>
            <w:proofErr w:type="spellEnd"/>
            <w:r>
              <w:rPr>
                <w:lang w:val="en-IE"/>
              </w:rPr>
              <w:t xml:space="preserve"> </w:t>
            </w:r>
            <w:r>
              <w:rPr>
                <w:i/>
                <w:lang w:val="en-IE"/>
              </w:rPr>
              <w:t>(</w:t>
            </w:r>
            <w:proofErr w:type="spellStart"/>
            <w:r>
              <w:rPr>
                <w:i/>
                <w:lang w:val="en-IE"/>
              </w:rPr>
              <w:t>Ilumetri</w:t>
            </w:r>
            <w:proofErr w:type="spellEnd"/>
            <w:r>
              <w:rPr>
                <w:i/>
                <w:lang w:val="en-IE"/>
              </w:rPr>
              <w:t>®)</w:t>
            </w:r>
          </w:p>
          <w:p w:rsidR="00AE2766" w:rsidRPr="00E01D9D" w:rsidRDefault="00AE2766" w:rsidP="00363E4B">
            <w:pPr>
              <w:shd w:val="clear" w:color="auto" w:fill="FFFFFF" w:themeFill="background1"/>
              <w:rPr>
                <w:i/>
                <w:sz w:val="12"/>
                <w:szCs w:val="12"/>
                <w:lang w:val="en-IE"/>
              </w:rPr>
            </w:pPr>
          </w:p>
          <w:p w:rsidR="00AE2766" w:rsidRDefault="00AE2766" w:rsidP="00363E4B">
            <w:pPr>
              <w:shd w:val="clear" w:color="auto" w:fill="FFFFFF" w:themeFill="background1"/>
              <w:rPr>
                <w:i/>
                <w:lang w:val="en-IE"/>
              </w:rPr>
            </w:pPr>
            <w:proofErr w:type="spellStart"/>
            <w:r w:rsidRPr="00A26549">
              <w:rPr>
                <w:b/>
                <w:lang w:val="en-IE"/>
              </w:rPr>
              <w:t>Brodalumab</w:t>
            </w:r>
            <w:proofErr w:type="spellEnd"/>
            <w:r>
              <w:rPr>
                <w:lang w:val="en-IE"/>
              </w:rPr>
              <w:t xml:space="preserve"> </w:t>
            </w:r>
            <w:r>
              <w:rPr>
                <w:i/>
                <w:lang w:val="en-IE"/>
              </w:rPr>
              <w:t>(</w:t>
            </w:r>
            <w:proofErr w:type="spellStart"/>
            <w:r>
              <w:rPr>
                <w:i/>
                <w:lang w:val="en-IE"/>
              </w:rPr>
              <w:t>Kyntheum</w:t>
            </w:r>
            <w:proofErr w:type="spellEnd"/>
            <w:r>
              <w:rPr>
                <w:i/>
                <w:lang w:val="en-IE"/>
              </w:rPr>
              <w:t>®)</w:t>
            </w:r>
          </w:p>
          <w:p w:rsidR="00AE2766" w:rsidRPr="00E01D9D" w:rsidRDefault="00AE2766" w:rsidP="00363E4B">
            <w:pPr>
              <w:shd w:val="clear" w:color="auto" w:fill="FFFFFF" w:themeFill="background1"/>
              <w:rPr>
                <w:i/>
                <w:sz w:val="12"/>
                <w:szCs w:val="12"/>
                <w:lang w:val="en-IE"/>
              </w:rPr>
            </w:pPr>
          </w:p>
          <w:p w:rsidR="00AE2766" w:rsidRDefault="00AE2766" w:rsidP="00363E4B">
            <w:pPr>
              <w:shd w:val="clear" w:color="auto" w:fill="FFFFFF" w:themeFill="background1"/>
              <w:rPr>
                <w:i/>
              </w:rPr>
            </w:pPr>
            <w:proofErr w:type="spellStart"/>
            <w:r w:rsidRPr="00A26549">
              <w:rPr>
                <w:b/>
              </w:rPr>
              <w:t>Ixekizumab</w:t>
            </w:r>
            <w:proofErr w:type="spellEnd"/>
            <w:r>
              <w:t xml:space="preserve"> </w:t>
            </w:r>
            <w:r>
              <w:rPr>
                <w:i/>
              </w:rPr>
              <w:t>(</w:t>
            </w:r>
            <w:proofErr w:type="spellStart"/>
            <w:r>
              <w:rPr>
                <w:i/>
              </w:rPr>
              <w:t>Taltz</w:t>
            </w:r>
            <w:proofErr w:type="spellEnd"/>
            <w:r>
              <w:rPr>
                <w:i/>
              </w:rPr>
              <w:t>®)</w:t>
            </w:r>
          </w:p>
          <w:p w:rsidR="00AE2766" w:rsidRPr="00E01D9D" w:rsidRDefault="00AE2766" w:rsidP="00363E4B">
            <w:pPr>
              <w:shd w:val="clear" w:color="auto" w:fill="FFFFFF" w:themeFill="background1"/>
              <w:rPr>
                <w:i/>
                <w:sz w:val="12"/>
                <w:szCs w:val="12"/>
              </w:rPr>
            </w:pPr>
          </w:p>
          <w:p w:rsidR="00AE2766" w:rsidRPr="005741D2" w:rsidRDefault="00AE2766" w:rsidP="00363E4B">
            <w:pPr>
              <w:shd w:val="clear" w:color="auto" w:fill="FFFFFF" w:themeFill="background1"/>
              <w:rPr>
                <w:i/>
              </w:rPr>
            </w:pPr>
            <w:proofErr w:type="spellStart"/>
            <w:r w:rsidRPr="00A26549">
              <w:rPr>
                <w:b/>
              </w:rPr>
              <w:t>Secukinumab</w:t>
            </w:r>
            <w:proofErr w:type="spellEnd"/>
            <w:r>
              <w:t xml:space="preserve"> </w:t>
            </w:r>
            <w:r>
              <w:rPr>
                <w:i/>
              </w:rPr>
              <w:t>(</w:t>
            </w:r>
            <w:proofErr w:type="spellStart"/>
            <w:r>
              <w:rPr>
                <w:i/>
              </w:rPr>
              <w:t>Cosentyx</w:t>
            </w:r>
            <w:proofErr w:type="spellEnd"/>
            <w:r>
              <w:rPr>
                <w:i/>
              </w:rPr>
              <w:t>®)</w:t>
            </w:r>
          </w:p>
        </w:tc>
      </w:tr>
      <w:tr w:rsidR="00AE2766" w:rsidTr="00363E4B">
        <w:tc>
          <w:tcPr>
            <w:tcW w:w="4621" w:type="dxa"/>
          </w:tcPr>
          <w:p w:rsidR="00AE2766" w:rsidRPr="005741D2" w:rsidRDefault="00AE2766" w:rsidP="00363E4B">
            <w:pPr>
              <w:shd w:val="clear" w:color="auto" w:fill="FFFFFF" w:themeFill="background1"/>
              <w:rPr>
                <w:b/>
                <w:sz w:val="24"/>
              </w:rPr>
            </w:pPr>
            <w:r w:rsidRPr="005741D2">
              <w:rPr>
                <w:b/>
                <w:sz w:val="24"/>
              </w:rPr>
              <w:t>Other mechanisms</w:t>
            </w:r>
          </w:p>
          <w:p w:rsidR="00AE2766" w:rsidRDefault="00AE2766" w:rsidP="00363E4B">
            <w:pPr>
              <w:shd w:val="clear" w:color="auto" w:fill="FFFFFF" w:themeFill="background1"/>
              <w:rPr>
                <w:i/>
              </w:rPr>
            </w:pPr>
            <w:proofErr w:type="spellStart"/>
            <w:r w:rsidRPr="00A26549">
              <w:rPr>
                <w:b/>
              </w:rPr>
              <w:t>Abatacept</w:t>
            </w:r>
            <w:proofErr w:type="spellEnd"/>
            <w:r>
              <w:t xml:space="preserve"> </w:t>
            </w:r>
            <w:r>
              <w:rPr>
                <w:i/>
              </w:rPr>
              <w:t>(</w:t>
            </w:r>
            <w:proofErr w:type="spellStart"/>
            <w:r>
              <w:rPr>
                <w:i/>
              </w:rPr>
              <w:t>Orencia</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proofErr w:type="spellStart"/>
            <w:r w:rsidRPr="00A26549">
              <w:rPr>
                <w:b/>
              </w:rPr>
              <w:t>Eculizumab</w:t>
            </w:r>
            <w:proofErr w:type="spellEnd"/>
            <w:r>
              <w:t xml:space="preserve"> </w:t>
            </w:r>
            <w:r>
              <w:rPr>
                <w:i/>
              </w:rPr>
              <w:t>(</w:t>
            </w:r>
            <w:proofErr w:type="spellStart"/>
            <w:r>
              <w:rPr>
                <w:i/>
              </w:rPr>
              <w:t>Soliris</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r w:rsidRPr="00A26549">
              <w:rPr>
                <w:b/>
              </w:rPr>
              <w:t>Rituximab</w:t>
            </w:r>
            <w:r>
              <w:t xml:space="preserve"> </w:t>
            </w:r>
            <w:r>
              <w:rPr>
                <w:i/>
              </w:rPr>
              <w:t>(</w:t>
            </w:r>
            <w:proofErr w:type="spellStart"/>
            <w:r>
              <w:rPr>
                <w:i/>
              </w:rPr>
              <w:t>Blitzima</w:t>
            </w:r>
            <w:proofErr w:type="spellEnd"/>
            <w:r>
              <w:rPr>
                <w:i/>
              </w:rPr>
              <w:t xml:space="preserve">®, </w:t>
            </w:r>
            <w:proofErr w:type="spellStart"/>
            <w:r>
              <w:rPr>
                <w:i/>
              </w:rPr>
              <w:t>Mabthera</w:t>
            </w:r>
            <w:proofErr w:type="spellEnd"/>
            <w:r>
              <w:rPr>
                <w:i/>
              </w:rPr>
              <w:t xml:space="preserve">®, </w:t>
            </w:r>
            <w:proofErr w:type="spellStart"/>
            <w:r>
              <w:rPr>
                <w:i/>
              </w:rPr>
              <w:t>Ritemvia</w:t>
            </w:r>
            <w:proofErr w:type="spellEnd"/>
            <w:r>
              <w:rPr>
                <w:i/>
              </w:rPr>
              <w:t xml:space="preserve">®, </w:t>
            </w:r>
            <w:proofErr w:type="spellStart"/>
            <w:r>
              <w:rPr>
                <w:i/>
              </w:rPr>
              <w:t>Rixathon</w:t>
            </w:r>
            <w:proofErr w:type="spellEnd"/>
            <w:r>
              <w:rPr>
                <w:i/>
              </w:rPr>
              <w:t xml:space="preserve">®, </w:t>
            </w:r>
            <w:proofErr w:type="spellStart"/>
            <w:r>
              <w:rPr>
                <w:i/>
              </w:rPr>
              <w:t>Riximyo</w:t>
            </w:r>
            <w:proofErr w:type="spellEnd"/>
            <w:r>
              <w:rPr>
                <w:i/>
              </w:rPr>
              <w:t xml:space="preserve">®, </w:t>
            </w:r>
            <w:proofErr w:type="spellStart"/>
            <w:r>
              <w:rPr>
                <w:i/>
              </w:rPr>
              <w:t>Truxima</w:t>
            </w:r>
            <w:proofErr w:type="spellEnd"/>
            <w:r>
              <w:rPr>
                <w:i/>
              </w:rPr>
              <w:t>®</w:t>
            </w:r>
          </w:p>
          <w:p w:rsidR="00AE2766" w:rsidRPr="00E01D9D" w:rsidRDefault="00AE2766" w:rsidP="00363E4B">
            <w:pPr>
              <w:shd w:val="clear" w:color="auto" w:fill="FFFFFF" w:themeFill="background1"/>
              <w:rPr>
                <w:i/>
                <w:sz w:val="12"/>
                <w:szCs w:val="12"/>
              </w:rPr>
            </w:pPr>
            <w:r>
              <w:rPr>
                <w:i/>
              </w:rPr>
              <w:t xml:space="preserve"> </w:t>
            </w:r>
          </w:p>
          <w:p w:rsidR="00AE2766" w:rsidRDefault="00AE2766" w:rsidP="00363E4B">
            <w:pPr>
              <w:shd w:val="clear" w:color="auto" w:fill="FFFFFF" w:themeFill="background1"/>
              <w:rPr>
                <w:i/>
              </w:rPr>
            </w:pPr>
            <w:proofErr w:type="spellStart"/>
            <w:r w:rsidRPr="00A26549">
              <w:rPr>
                <w:b/>
              </w:rPr>
              <w:t>Apremilast</w:t>
            </w:r>
            <w:proofErr w:type="spellEnd"/>
            <w:r>
              <w:t xml:space="preserve"> </w:t>
            </w:r>
            <w:r>
              <w:rPr>
                <w:i/>
              </w:rPr>
              <w:t>(</w:t>
            </w:r>
            <w:proofErr w:type="spellStart"/>
            <w:r>
              <w:rPr>
                <w:i/>
              </w:rPr>
              <w:t>Otezia</w:t>
            </w:r>
            <w:proofErr w:type="spellEnd"/>
            <w:r>
              <w:rPr>
                <w:i/>
              </w:rPr>
              <w:t>®)</w:t>
            </w:r>
          </w:p>
          <w:p w:rsidR="00AE2766" w:rsidRPr="00E01D9D" w:rsidRDefault="00AE2766" w:rsidP="00363E4B">
            <w:pPr>
              <w:shd w:val="clear" w:color="auto" w:fill="FFFFFF" w:themeFill="background1"/>
              <w:rPr>
                <w:i/>
                <w:sz w:val="12"/>
                <w:szCs w:val="12"/>
              </w:rPr>
            </w:pPr>
          </w:p>
          <w:p w:rsidR="00AE2766" w:rsidRPr="007B6D51" w:rsidRDefault="00AE2766" w:rsidP="00363E4B">
            <w:pPr>
              <w:shd w:val="clear" w:color="auto" w:fill="FFFFFF" w:themeFill="background1"/>
              <w:rPr>
                <w:i/>
              </w:rPr>
            </w:pPr>
            <w:proofErr w:type="spellStart"/>
            <w:r w:rsidRPr="00A26549">
              <w:rPr>
                <w:b/>
              </w:rPr>
              <w:t>Vedolizumab</w:t>
            </w:r>
            <w:proofErr w:type="spellEnd"/>
            <w:r>
              <w:t xml:space="preserve"> </w:t>
            </w:r>
            <w:r>
              <w:rPr>
                <w:i/>
              </w:rPr>
              <w:t>(</w:t>
            </w:r>
            <w:proofErr w:type="spellStart"/>
            <w:r>
              <w:rPr>
                <w:i/>
              </w:rPr>
              <w:t>Entyvio</w:t>
            </w:r>
            <w:proofErr w:type="spellEnd"/>
            <w:r>
              <w:rPr>
                <w:i/>
              </w:rPr>
              <w:t>®)</w:t>
            </w:r>
          </w:p>
        </w:tc>
        <w:tc>
          <w:tcPr>
            <w:tcW w:w="4621" w:type="dxa"/>
          </w:tcPr>
          <w:p w:rsidR="00AE2766" w:rsidRPr="00550800" w:rsidRDefault="00AE2766" w:rsidP="00363E4B">
            <w:pPr>
              <w:shd w:val="clear" w:color="auto" w:fill="FFFFFF" w:themeFill="background1"/>
              <w:rPr>
                <w:b/>
              </w:rPr>
            </w:pPr>
            <w:r w:rsidRPr="005741D2">
              <w:rPr>
                <w:b/>
                <w:sz w:val="24"/>
              </w:rPr>
              <w:t>JAK inhibitors</w:t>
            </w:r>
          </w:p>
          <w:p w:rsidR="00AE2766" w:rsidRDefault="00AE2766" w:rsidP="00363E4B">
            <w:pPr>
              <w:shd w:val="clear" w:color="auto" w:fill="FFFFFF" w:themeFill="background1"/>
              <w:rPr>
                <w:i/>
              </w:rPr>
            </w:pPr>
            <w:proofErr w:type="spellStart"/>
            <w:r w:rsidRPr="00A26549">
              <w:rPr>
                <w:b/>
              </w:rPr>
              <w:t>Tofacitinib</w:t>
            </w:r>
            <w:proofErr w:type="spellEnd"/>
            <w:r>
              <w:t xml:space="preserve"> </w:t>
            </w:r>
            <w:r>
              <w:rPr>
                <w:i/>
              </w:rPr>
              <w:t>(</w:t>
            </w:r>
            <w:proofErr w:type="spellStart"/>
            <w:r>
              <w:rPr>
                <w:i/>
              </w:rPr>
              <w:t>Xeljanz</w:t>
            </w:r>
            <w:proofErr w:type="spellEnd"/>
            <w:r>
              <w:rPr>
                <w:i/>
              </w:rPr>
              <w:t>®)</w:t>
            </w:r>
          </w:p>
          <w:p w:rsidR="00AE2766" w:rsidRPr="00E01D9D" w:rsidRDefault="00AE2766" w:rsidP="00363E4B">
            <w:pPr>
              <w:shd w:val="clear" w:color="auto" w:fill="FFFFFF" w:themeFill="background1"/>
              <w:rPr>
                <w:i/>
                <w:sz w:val="12"/>
                <w:szCs w:val="12"/>
              </w:rPr>
            </w:pPr>
          </w:p>
          <w:p w:rsidR="00AE2766" w:rsidRDefault="00AE2766" w:rsidP="00363E4B">
            <w:pPr>
              <w:shd w:val="clear" w:color="auto" w:fill="FFFFFF" w:themeFill="background1"/>
              <w:rPr>
                <w:i/>
              </w:rPr>
            </w:pPr>
            <w:proofErr w:type="spellStart"/>
            <w:r w:rsidRPr="00A26549">
              <w:rPr>
                <w:b/>
              </w:rPr>
              <w:t>Baricitinib</w:t>
            </w:r>
            <w:proofErr w:type="spellEnd"/>
            <w:r>
              <w:t xml:space="preserve"> </w:t>
            </w:r>
            <w:r>
              <w:rPr>
                <w:i/>
              </w:rPr>
              <w:t>(</w:t>
            </w:r>
            <w:proofErr w:type="spellStart"/>
            <w:r>
              <w:rPr>
                <w:i/>
              </w:rPr>
              <w:t>Olumiant</w:t>
            </w:r>
            <w:proofErr w:type="spellEnd"/>
            <w:r>
              <w:rPr>
                <w:i/>
              </w:rPr>
              <w:t>®)</w:t>
            </w:r>
          </w:p>
          <w:p w:rsidR="00AE2766" w:rsidRPr="00E01D9D" w:rsidRDefault="00AE2766" w:rsidP="00363E4B">
            <w:pPr>
              <w:shd w:val="clear" w:color="auto" w:fill="FFFFFF" w:themeFill="background1"/>
              <w:rPr>
                <w:i/>
                <w:sz w:val="12"/>
                <w:szCs w:val="12"/>
              </w:rPr>
            </w:pPr>
          </w:p>
          <w:p w:rsidR="00AE2766" w:rsidRPr="005741D2" w:rsidRDefault="00AE2766" w:rsidP="00363E4B">
            <w:pPr>
              <w:shd w:val="clear" w:color="auto" w:fill="FFFFFF" w:themeFill="background1"/>
              <w:rPr>
                <w:i/>
              </w:rPr>
            </w:pPr>
            <w:proofErr w:type="spellStart"/>
            <w:r w:rsidRPr="00A26549">
              <w:rPr>
                <w:b/>
              </w:rPr>
              <w:t>Ruxolitinib</w:t>
            </w:r>
            <w:proofErr w:type="spellEnd"/>
            <w:r>
              <w:t xml:space="preserve"> </w:t>
            </w:r>
            <w:r>
              <w:rPr>
                <w:i/>
              </w:rPr>
              <w:t>(</w:t>
            </w:r>
            <w:proofErr w:type="spellStart"/>
            <w:r>
              <w:rPr>
                <w:i/>
              </w:rPr>
              <w:t>Jakavi</w:t>
            </w:r>
            <w:proofErr w:type="spellEnd"/>
            <w:r>
              <w:rPr>
                <w:i/>
              </w:rPr>
              <w:t>®)</w:t>
            </w:r>
          </w:p>
          <w:p w:rsidR="00AE2766" w:rsidRDefault="00AE2766" w:rsidP="00363E4B">
            <w:pPr>
              <w:tabs>
                <w:tab w:val="left" w:pos="2830"/>
              </w:tabs>
            </w:pPr>
          </w:p>
        </w:tc>
      </w:tr>
    </w:tbl>
    <w:p w:rsidR="00AE2766" w:rsidRPr="00E01D9D" w:rsidRDefault="00AE2766" w:rsidP="00AE2766">
      <w:pPr>
        <w:shd w:val="clear" w:color="auto" w:fill="FFFFFF" w:themeFill="background1"/>
        <w:spacing w:after="0"/>
        <w:rPr>
          <w:i/>
        </w:rPr>
      </w:pPr>
      <w:r>
        <w:rPr>
          <w:b/>
        </w:rPr>
        <w:t xml:space="preserve">Approved Generic drug name given first </w:t>
      </w:r>
      <w:r>
        <w:rPr>
          <w:i/>
        </w:rPr>
        <w:t>(Proprietary/ Brand name(s</w:t>
      </w:r>
      <w:proofErr w:type="gramStart"/>
      <w:r>
        <w:rPr>
          <w:i/>
        </w:rPr>
        <w:t>)®</w:t>
      </w:r>
      <w:proofErr w:type="gramEnd"/>
      <w:r>
        <w:rPr>
          <w:i/>
        </w:rPr>
        <w:t xml:space="preserve"> in brackets)</w:t>
      </w:r>
    </w:p>
    <w:p w:rsidR="001C4B5B" w:rsidRDefault="001C4B5B" w:rsidP="001C4B5B">
      <w:pPr>
        <w:shd w:val="clear" w:color="auto" w:fill="FFFFFF" w:themeFill="background1"/>
        <w:spacing w:after="0"/>
        <w:rPr>
          <w:b/>
        </w:rPr>
      </w:pPr>
    </w:p>
    <w:p w:rsidR="00EE4AAA" w:rsidRPr="0041244D" w:rsidRDefault="00EE4AAA" w:rsidP="001C4B5B">
      <w:pPr>
        <w:shd w:val="clear" w:color="auto" w:fill="FFFFFF" w:themeFill="background1"/>
        <w:spacing w:after="0"/>
        <w:rPr>
          <w:b/>
        </w:rPr>
      </w:pPr>
    </w:p>
    <w:p w:rsidR="00AE2766" w:rsidRDefault="00AE2766">
      <w:pPr>
        <w:rPr>
          <w:b/>
          <w:u w:val="single"/>
        </w:rPr>
      </w:pPr>
      <w:r>
        <w:rPr>
          <w:b/>
          <w:u w:val="single"/>
        </w:rPr>
        <w:br w:type="page"/>
      </w:r>
    </w:p>
    <w:p w:rsidR="001C4B5B" w:rsidRPr="00AE2766" w:rsidRDefault="001C4B5B" w:rsidP="00EE4AAA">
      <w:pPr>
        <w:rPr>
          <w:b/>
        </w:rPr>
      </w:pPr>
      <w:r w:rsidRPr="00AE2766">
        <w:rPr>
          <w:b/>
        </w:rPr>
        <w:lastRenderedPageBreak/>
        <w:t>Section 3 Risk Stratification</w:t>
      </w:r>
    </w:p>
    <w:p w:rsidR="001C4B5B" w:rsidRPr="00BE49AA" w:rsidRDefault="001C4B5B" w:rsidP="001C4B5B">
      <w:pPr>
        <w:pStyle w:val="ListParagraph"/>
        <w:numPr>
          <w:ilvl w:val="0"/>
          <w:numId w:val="2"/>
        </w:numPr>
        <w:shd w:val="clear" w:color="auto" w:fill="FFFFFF" w:themeFill="background1"/>
        <w:spacing w:after="0"/>
        <w:rPr>
          <w:b/>
        </w:rPr>
      </w:pPr>
      <w:r w:rsidRPr="00BE49AA">
        <w:rPr>
          <w:b/>
        </w:rPr>
        <w:t xml:space="preserve">Normal risk: </w:t>
      </w:r>
    </w:p>
    <w:p w:rsidR="006C0495" w:rsidRDefault="001C4B5B" w:rsidP="006C0495">
      <w:pPr>
        <w:shd w:val="clear" w:color="auto" w:fill="FFFFFF" w:themeFill="background1"/>
        <w:spacing w:after="0"/>
      </w:pPr>
      <w:r>
        <w:t>People who have an auto-immune disease, are not taking immunosuppressant therapies and have no additional risks (listed below) are at similar risk to the general population.  This includes o</w:t>
      </w:r>
      <w:r w:rsidRPr="002D6D9E">
        <w:t xml:space="preserve">ther medication for auto-immune conditions, including </w:t>
      </w:r>
      <w:proofErr w:type="spellStart"/>
      <w:r w:rsidRPr="002D6D9E">
        <w:t>hydroxychloroquine</w:t>
      </w:r>
      <w:proofErr w:type="spellEnd"/>
      <w:r w:rsidRPr="002D6D9E">
        <w:t>, sulfasala</w:t>
      </w:r>
      <w:r>
        <w:t xml:space="preserve">zine, </w:t>
      </w:r>
      <w:proofErr w:type="spellStart"/>
      <w:r>
        <w:t>mesalazine</w:t>
      </w:r>
      <w:proofErr w:type="spellEnd"/>
      <w:r>
        <w:t>, gold products and</w:t>
      </w:r>
      <w:r w:rsidRPr="002D6D9E">
        <w:t xml:space="preserve"> </w:t>
      </w:r>
      <w:proofErr w:type="spellStart"/>
      <w:r w:rsidRPr="002D6D9E">
        <w:t>penicillamine</w:t>
      </w:r>
      <w:proofErr w:type="spellEnd"/>
      <w:r w:rsidRPr="002D6D9E">
        <w:t>.</w:t>
      </w:r>
      <w:r w:rsidR="006C0495">
        <w:t xml:space="preserve">  </w:t>
      </w:r>
    </w:p>
    <w:p w:rsidR="001C4B5B" w:rsidRDefault="006C0495" w:rsidP="006C0495">
      <w:pPr>
        <w:shd w:val="clear" w:color="auto" w:fill="FFFFFF" w:themeFill="background1"/>
        <w:spacing w:after="0"/>
      </w:pPr>
      <w:r>
        <w:t xml:space="preserve">Some type 2 monoclonal antibodies for type 2 inflammation are also in this category.  This includes: </w:t>
      </w:r>
      <w:proofErr w:type="spellStart"/>
      <w:r>
        <w:t>Reslizumab</w:t>
      </w:r>
      <w:proofErr w:type="spellEnd"/>
      <w:r>
        <w:t xml:space="preserve">, </w:t>
      </w:r>
      <w:proofErr w:type="spellStart"/>
      <w:r>
        <w:t>Benralizumab</w:t>
      </w:r>
      <w:proofErr w:type="spellEnd"/>
      <w:r>
        <w:t xml:space="preserve">, </w:t>
      </w:r>
      <w:proofErr w:type="spellStart"/>
      <w:r>
        <w:t>Mepolizumab</w:t>
      </w:r>
      <w:proofErr w:type="spellEnd"/>
      <w:r>
        <w:t xml:space="preserve">, </w:t>
      </w:r>
      <w:proofErr w:type="spellStart"/>
      <w:r>
        <w:t>Omalizumab</w:t>
      </w:r>
      <w:proofErr w:type="spellEnd"/>
      <w:r>
        <w:t xml:space="preserve">, </w:t>
      </w:r>
      <w:proofErr w:type="spellStart"/>
      <w:r>
        <w:t>Dupilumab</w:t>
      </w:r>
      <w:proofErr w:type="spellEnd"/>
      <w:r w:rsidR="00EE4AAA">
        <w:t xml:space="preserve"> (although people on these medicines may be in high risk groups for Covid-19 for other reasons e.g. severe respiratory disease)</w:t>
      </w:r>
      <w:r>
        <w:t>.</w:t>
      </w:r>
    </w:p>
    <w:p w:rsidR="001C4B5B" w:rsidRDefault="001C4B5B" w:rsidP="00EE4AAA">
      <w:pPr>
        <w:shd w:val="clear" w:color="auto" w:fill="FFFFFF" w:themeFill="background1"/>
        <w:tabs>
          <w:tab w:val="left" w:pos="3248"/>
        </w:tabs>
        <w:spacing w:after="0"/>
      </w:pPr>
      <w:r>
        <w:tab/>
      </w:r>
    </w:p>
    <w:p w:rsidR="001C4B5B" w:rsidRDefault="001C4B5B" w:rsidP="001C4B5B">
      <w:pPr>
        <w:pStyle w:val="ListParagraph"/>
        <w:numPr>
          <w:ilvl w:val="0"/>
          <w:numId w:val="2"/>
        </w:numPr>
        <w:shd w:val="clear" w:color="auto" w:fill="FFFFFF" w:themeFill="background1"/>
        <w:spacing w:after="0"/>
      </w:pPr>
      <w:r w:rsidRPr="00BE49AA">
        <w:rPr>
          <w:b/>
        </w:rPr>
        <w:t>Increased risk:</w:t>
      </w:r>
      <w:r>
        <w:t xml:space="preserve"> </w:t>
      </w:r>
    </w:p>
    <w:p w:rsidR="001C4B5B" w:rsidRDefault="001C4B5B" w:rsidP="001C4B5B">
      <w:pPr>
        <w:shd w:val="clear" w:color="auto" w:fill="FFFFFF" w:themeFill="background1"/>
        <w:spacing w:after="0"/>
      </w:pPr>
      <w:proofErr w:type="gramStart"/>
      <w:r>
        <w:t>People taking any single medication from section 2 (and not listed in high</w:t>
      </w:r>
      <w:r w:rsidR="00EE4AAA">
        <w:t>er</w:t>
      </w:r>
      <w:r>
        <w:t xml:space="preserve"> risk category </w:t>
      </w:r>
      <w:r w:rsidR="00EE4AAA">
        <w:t xml:space="preserve">C </w:t>
      </w:r>
      <w:r>
        <w:t>below) without prednisolone 5mg daily or greater in the last 4 weeks.</w:t>
      </w:r>
      <w:proofErr w:type="gramEnd"/>
      <w:r>
        <w:t xml:space="preserve"> </w:t>
      </w:r>
    </w:p>
    <w:p w:rsidR="001C4B5B" w:rsidRDefault="001C4B5B" w:rsidP="001C4B5B">
      <w:pPr>
        <w:pStyle w:val="ListParagraph"/>
        <w:shd w:val="clear" w:color="auto" w:fill="FFFFFF" w:themeFill="background1"/>
        <w:spacing w:after="0"/>
        <w:rPr>
          <w:b/>
        </w:rPr>
      </w:pPr>
    </w:p>
    <w:p w:rsidR="001C4B5B" w:rsidRPr="0058549A" w:rsidRDefault="001C4B5B" w:rsidP="001C4B5B">
      <w:pPr>
        <w:pStyle w:val="ListParagraph"/>
        <w:numPr>
          <w:ilvl w:val="0"/>
          <w:numId w:val="2"/>
        </w:numPr>
        <w:shd w:val="clear" w:color="auto" w:fill="FFFFFF" w:themeFill="background1"/>
        <w:spacing w:after="0"/>
        <w:rPr>
          <w:b/>
        </w:rPr>
      </w:pPr>
      <w:r w:rsidRPr="00BE49AA">
        <w:rPr>
          <w:b/>
        </w:rPr>
        <w:t xml:space="preserve">Higher risk: </w:t>
      </w:r>
    </w:p>
    <w:p w:rsidR="001C4B5B" w:rsidRDefault="001C4B5B" w:rsidP="001C4B5B">
      <w:pPr>
        <w:shd w:val="clear" w:color="auto" w:fill="FFFFFF" w:themeFill="background1"/>
        <w:spacing w:after="0"/>
      </w:pPr>
      <w:r w:rsidRPr="008B264F">
        <w:t>Prednisolone</w:t>
      </w:r>
      <w:r>
        <w:t xml:space="preserve"> 40 mg/day or greater for more than 1 week, </w:t>
      </w:r>
    </w:p>
    <w:p w:rsidR="001C4B5B" w:rsidRDefault="001C4B5B" w:rsidP="001C4B5B">
      <w:pPr>
        <w:shd w:val="clear" w:color="auto" w:fill="FFFFFF" w:themeFill="background1"/>
        <w:spacing w:after="0"/>
      </w:pPr>
      <w:proofErr w:type="gramStart"/>
      <w:r>
        <w:t>or</w:t>
      </w:r>
      <w:proofErr w:type="gramEnd"/>
      <w:r>
        <w:t xml:space="preserve"> 20 mg/day or greater for 2 weeks or longer</w:t>
      </w:r>
    </w:p>
    <w:p w:rsidR="001C4B5B" w:rsidRPr="00922EC8" w:rsidRDefault="001C4B5B" w:rsidP="001C4B5B">
      <w:pPr>
        <w:shd w:val="clear" w:color="auto" w:fill="FFFFFF" w:themeFill="background1"/>
        <w:spacing w:after="0"/>
        <w:rPr>
          <w:sz w:val="4"/>
          <w:szCs w:val="4"/>
        </w:rPr>
      </w:pPr>
    </w:p>
    <w:p w:rsidR="001C4B5B" w:rsidRDefault="001C4B5B" w:rsidP="00EE4AAA">
      <w:pPr>
        <w:shd w:val="clear" w:color="auto" w:fill="FFFFFF" w:themeFill="background1"/>
        <w:spacing w:after="0"/>
        <w:ind w:firstLine="720"/>
      </w:pPr>
      <w:r>
        <w:t>Or</w:t>
      </w:r>
    </w:p>
    <w:p w:rsidR="001C4B5B" w:rsidRPr="00922EC8" w:rsidRDefault="001C4B5B" w:rsidP="001C4B5B">
      <w:pPr>
        <w:shd w:val="clear" w:color="auto" w:fill="FFFFFF" w:themeFill="background1"/>
        <w:spacing w:after="0"/>
        <w:rPr>
          <w:sz w:val="4"/>
          <w:szCs w:val="4"/>
        </w:rPr>
      </w:pPr>
    </w:p>
    <w:p w:rsidR="001C4B5B" w:rsidRDefault="001C4B5B" w:rsidP="001C4B5B">
      <w:pPr>
        <w:shd w:val="clear" w:color="auto" w:fill="FFFFFF" w:themeFill="background1"/>
        <w:spacing w:after="0"/>
      </w:pPr>
      <w:proofErr w:type="gramStart"/>
      <w:r>
        <w:t>People taking two or more immunosuppressant medicines.</w:t>
      </w:r>
      <w:proofErr w:type="gramEnd"/>
      <w:r>
        <w:t xml:space="preserve">  </w:t>
      </w:r>
    </w:p>
    <w:p w:rsidR="001C4B5B" w:rsidRDefault="001C4B5B" w:rsidP="001C4B5B">
      <w:pPr>
        <w:shd w:val="clear" w:color="auto" w:fill="FFFFFF" w:themeFill="background1"/>
        <w:spacing w:after="0"/>
      </w:pPr>
      <w:r>
        <w:t>This includes prednisolone 5mg or greater in</w:t>
      </w:r>
      <w:r w:rsidR="00BC4FC3">
        <w:t xml:space="preserve"> the last 4 weeks.</w:t>
      </w:r>
    </w:p>
    <w:p w:rsidR="001C4B5B" w:rsidRPr="00922EC8" w:rsidRDefault="001C4B5B" w:rsidP="001C4B5B">
      <w:pPr>
        <w:shd w:val="clear" w:color="auto" w:fill="FFFFFF" w:themeFill="background1"/>
        <w:spacing w:after="0"/>
        <w:rPr>
          <w:sz w:val="4"/>
          <w:szCs w:val="4"/>
        </w:rPr>
      </w:pPr>
    </w:p>
    <w:p w:rsidR="001C4B5B" w:rsidRDefault="001C4B5B" w:rsidP="00EE4AAA">
      <w:pPr>
        <w:shd w:val="clear" w:color="auto" w:fill="FFFFFF" w:themeFill="background1"/>
        <w:spacing w:after="0"/>
        <w:ind w:firstLine="720"/>
      </w:pPr>
      <w:r>
        <w:t>Or</w:t>
      </w:r>
    </w:p>
    <w:p w:rsidR="001C4B5B" w:rsidRPr="00922EC8" w:rsidRDefault="001C4B5B" w:rsidP="001C4B5B">
      <w:pPr>
        <w:shd w:val="clear" w:color="auto" w:fill="FFFFFF" w:themeFill="background1"/>
        <w:spacing w:after="0"/>
        <w:rPr>
          <w:sz w:val="4"/>
          <w:szCs w:val="4"/>
        </w:rPr>
      </w:pPr>
    </w:p>
    <w:p w:rsidR="001C4B5B" w:rsidRDefault="001C4B5B" w:rsidP="00AE2766">
      <w:pPr>
        <w:shd w:val="clear" w:color="auto" w:fill="FFFFFF" w:themeFill="background1"/>
        <w:spacing w:after="0"/>
      </w:pPr>
      <w:r>
        <w:t>Cyclophosphamide</w:t>
      </w:r>
      <w:r w:rsidR="00AE2766">
        <w:t xml:space="preserve"> or Rituximab</w:t>
      </w:r>
      <w:r>
        <w:t xml:space="preserve"> in the last 6 months</w:t>
      </w:r>
    </w:p>
    <w:p w:rsidR="00170499" w:rsidRPr="00922EC8" w:rsidRDefault="00170499" w:rsidP="001C4B5B">
      <w:pPr>
        <w:shd w:val="clear" w:color="auto" w:fill="FFFFFF" w:themeFill="background1"/>
        <w:spacing w:after="0"/>
        <w:rPr>
          <w:sz w:val="4"/>
          <w:szCs w:val="4"/>
        </w:rPr>
      </w:pPr>
    </w:p>
    <w:p w:rsidR="001C4B5B" w:rsidRDefault="001C4B5B" w:rsidP="00EE4AAA">
      <w:pPr>
        <w:shd w:val="clear" w:color="auto" w:fill="FFFFFF" w:themeFill="background1"/>
        <w:spacing w:after="0"/>
        <w:ind w:firstLine="720"/>
      </w:pPr>
      <w:r>
        <w:t xml:space="preserve">Or </w:t>
      </w:r>
    </w:p>
    <w:p w:rsidR="001C4B5B" w:rsidRPr="00922EC8" w:rsidRDefault="001C4B5B" w:rsidP="00922EC8">
      <w:pPr>
        <w:shd w:val="clear" w:color="auto" w:fill="FFFFFF" w:themeFill="background1"/>
        <w:spacing w:after="0"/>
        <w:ind w:firstLine="720"/>
        <w:rPr>
          <w:sz w:val="4"/>
          <w:szCs w:val="4"/>
        </w:rPr>
      </w:pPr>
    </w:p>
    <w:p w:rsidR="001C4B5B" w:rsidRDefault="001C4B5B" w:rsidP="001C4B5B">
      <w:pPr>
        <w:shd w:val="clear" w:color="auto" w:fill="FFFFFF" w:themeFill="background1"/>
        <w:spacing w:after="0"/>
      </w:pPr>
      <w:r>
        <w:t xml:space="preserve">People with poorly controlled disease or a history of recurring infections (requiring medical treatment) while on immunosuppressant medication. </w:t>
      </w:r>
    </w:p>
    <w:p w:rsidR="001C4B5B" w:rsidRPr="00922EC8" w:rsidRDefault="001C4B5B" w:rsidP="001C4B5B">
      <w:pPr>
        <w:shd w:val="clear" w:color="auto" w:fill="FFFFFF" w:themeFill="background1"/>
        <w:spacing w:after="0"/>
        <w:rPr>
          <w:sz w:val="4"/>
          <w:szCs w:val="4"/>
        </w:rPr>
      </w:pPr>
    </w:p>
    <w:p w:rsidR="001C4B5B" w:rsidRDefault="001C4B5B" w:rsidP="00EE4AAA">
      <w:pPr>
        <w:shd w:val="clear" w:color="auto" w:fill="FFFFFF" w:themeFill="background1"/>
        <w:spacing w:after="0"/>
        <w:ind w:firstLine="720"/>
      </w:pPr>
      <w:r>
        <w:t>Or</w:t>
      </w:r>
    </w:p>
    <w:p w:rsidR="001C4B5B" w:rsidRDefault="001C4B5B" w:rsidP="001C4B5B">
      <w:pPr>
        <w:shd w:val="clear" w:color="auto" w:fill="FFFFFF" w:themeFill="background1"/>
        <w:spacing w:after="0"/>
        <w:rPr>
          <w:sz w:val="4"/>
          <w:szCs w:val="4"/>
        </w:rPr>
      </w:pPr>
    </w:p>
    <w:p w:rsidR="00922EC8" w:rsidRPr="00A02FF4" w:rsidRDefault="00922EC8" w:rsidP="00922EC8">
      <w:pPr>
        <w:spacing w:after="0" w:line="240" w:lineRule="auto"/>
      </w:pPr>
      <w:r w:rsidRPr="00A02FF4">
        <w:t>Some people with Multiple Sclerosis (Advice being finalised, will be available via Covid-19 HSE Clinic</w:t>
      </w:r>
      <w:r>
        <w:t>al Guidance and Evidence</w:t>
      </w:r>
      <w:r w:rsidRPr="00A02FF4">
        <w:t xml:space="preserve"> repository and MS Society)</w:t>
      </w:r>
    </w:p>
    <w:p w:rsidR="00922EC8" w:rsidRDefault="00922EC8" w:rsidP="001C4B5B">
      <w:pPr>
        <w:shd w:val="clear" w:color="auto" w:fill="FFFFFF" w:themeFill="background1"/>
        <w:spacing w:after="0"/>
        <w:rPr>
          <w:sz w:val="4"/>
          <w:szCs w:val="4"/>
        </w:rPr>
      </w:pPr>
    </w:p>
    <w:p w:rsidR="00922EC8" w:rsidRDefault="00922EC8" w:rsidP="00922EC8">
      <w:pPr>
        <w:shd w:val="clear" w:color="auto" w:fill="FFFFFF" w:themeFill="background1"/>
        <w:spacing w:after="0"/>
        <w:ind w:firstLine="720"/>
      </w:pPr>
      <w:r>
        <w:t>Or</w:t>
      </w:r>
    </w:p>
    <w:p w:rsidR="00922EC8" w:rsidRPr="00922EC8" w:rsidRDefault="00922EC8" w:rsidP="001C4B5B">
      <w:pPr>
        <w:shd w:val="clear" w:color="auto" w:fill="FFFFFF" w:themeFill="background1"/>
        <w:spacing w:after="0"/>
        <w:rPr>
          <w:sz w:val="4"/>
          <w:szCs w:val="4"/>
        </w:rPr>
      </w:pPr>
    </w:p>
    <w:p w:rsidR="001C4B5B" w:rsidRDefault="001C4B5B" w:rsidP="001C4B5B">
      <w:pPr>
        <w:shd w:val="clear" w:color="auto" w:fill="FFFFFF" w:themeFill="background1"/>
        <w:spacing w:after="0"/>
      </w:pPr>
      <w:r>
        <w:t xml:space="preserve">People taking one </w:t>
      </w:r>
      <w:r w:rsidRPr="008B264F">
        <w:t>immunosuppressant known to increase the risk of</w:t>
      </w:r>
      <w:r>
        <w:t xml:space="preserve"> infection or serious infection and also in one or more of the following categories:</w:t>
      </w:r>
    </w:p>
    <w:p w:rsidR="001C4B5B" w:rsidRDefault="001C4B5B" w:rsidP="00BC4FC3">
      <w:pPr>
        <w:pStyle w:val="ListParagraph"/>
        <w:numPr>
          <w:ilvl w:val="0"/>
          <w:numId w:val="8"/>
        </w:numPr>
        <w:shd w:val="clear" w:color="auto" w:fill="FFFFFF" w:themeFill="background1"/>
        <w:spacing w:after="0"/>
      </w:pPr>
      <w:r>
        <w:t>over 70 years of age</w:t>
      </w:r>
    </w:p>
    <w:p w:rsidR="001C4B5B" w:rsidRDefault="001C4B5B" w:rsidP="001353AA">
      <w:pPr>
        <w:pStyle w:val="ListParagraph"/>
        <w:numPr>
          <w:ilvl w:val="0"/>
          <w:numId w:val="8"/>
        </w:numPr>
        <w:shd w:val="clear" w:color="auto" w:fill="FFFFFF" w:themeFill="background1"/>
        <w:spacing w:after="0"/>
      </w:pPr>
      <w:r>
        <w:t>solid organ transplant recipients</w:t>
      </w:r>
    </w:p>
    <w:p w:rsidR="001C4B5B" w:rsidRDefault="001C4B5B" w:rsidP="00BC4FC3">
      <w:pPr>
        <w:pStyle w:val="ListParagraph"/>
        <w:numPr>
          <w:ilvl w:val="0"/>
          <w:numId w:val="8"/>
        </w:numPr>
        <w:shd w:val="clear" w:color="auto" w:fill="FFFFFF" w:themeFill="background1"/>
        <w:spacing w:after="0"/>
      </w:pPr>
      <w:r>
        <w:t xml:space="preserve">have cancer and are undergoing active chemotherapy, immunotherapy, antibody treatment or other treatment which can affect the immune system, </w:t>
      </w:r>
    </w:p>
    <w:p w:rsidR="001C4B5B" w:rsidRDefault="001C4B5B" w:rsidP="00BC4FC3">
      <w:pPr>
        <w:pStyle w:val="ListParagraph"/>
        <w:numPr>
          <w:ilvl w:val="0"/>
          <w:numId w:val="8"/>
        </w:numPr>
        <w:shd w:val="clear" w:color="auto" w:fill="FFFFFF" w:themeFill="background1"/>
        <w:spacing w:after="0"/>
      </w:pPr>
      <w:r>
        <w:t>severe respiratory conditions including cystic fibrosi</w:t>
      </w:r>
      <w:r w:rsidR="00AE2766">
        <w:t>s, severe asthma &amp;</w:t>
      </w:r>
      <w:r>
        <w:t xml:space="preserve"> severe COPD</w:t>
      </w:r>
    </w:p>
    <w:p w:rsidR="00BC4FC3" w:rsidRDefault="001C4B5B" w:rsidP="00BC4FC3">
      <w:pPr>
        <w:pStyle w:val="ListParagraph"/>
        <w:numPr>
          <w:ilvl w:val="0"/>
          <w:numId w:val="8"/>
        </w:numPr>
        <w:shd w:val="clear" w:color="auto" w:fill="FFFFFF" w:themeFill="background1"/>
        <w:spacing w:after="0"/>
      </w:pPr>
      <w:r>
        <w:t>have rare diseases and inborn errors of metabolism that significantly increase the risk of infections (such as SCID, homozygous sickle cell)</w:t>
      </w:r>
    </w:p>
    <w:p w:rsidR="00BC4FC3" w:rsidRDefault="001C4B5B" w:rsidP="00BC4FC3">
      <w:pPr>
        <w:pStyle w:val="ListParagraph"/>
        <w:numPr>
          <w:ilvl w:val="0"/>
          <w:numId w:val="8"/>
        </w:numPr>
        <w:shd w:val="clear" w:color="auto" w:fill="FFFFFF" w:themeFill="background1"/>
        <w:spacing w:after="0"/>
      </w:pPr>
      <w:r>
        <w:t>are pregnant and have significant heart</w:t>
      </w:r>
      <w:r w:rsidR="00BC4FC3">
        <w:t xml:space="preserve"> disease, congenital or acquired</w:t>
      </w:r>
    </w:p>
    <w:p w:rsidR="00BC4FC3" w:rsidRPr="00922EC8" w:rsidRDefault="00BC4FC3" w:rsidP="0009252A">
      <w:pPr>
        <w:shd w:val="clear" w:color="auto" w:fill="FFFFFF" w:themeFill="background1"/>
        <w:spacing w:after="0"/>
        <w:rPr>
          <w:sz w:val="4"/>
          <w:szCs w:val="4"/>
        </w:rPr>
      </w:pPr>
    </w:p>
    <w:p w:rsidR="00922EC8" w:rsidRDefault="001C4B5B" w:rsidP="001C4B5B">
      <w:pPr>
        <w:shd w:val="clear" w:color="auto" w:fill="FFFFFF" w:themeFill="background1"/>
        <w:spacing w:after="0"/>
        <w:rPr>
          <w:lang w:val="en-IE"/>
        </w:rPr>
      </w:pPr>
      <w:r>
        <w:t>An individual’s risk may be higher or lower than these categories</w:t>
      </w:r>
      <w:r w:rsidR="001353AA">
        <w:t xml:space="preserve"> depending on associated risk factors or co-morbidities </w:t>
      </w:r>
      <w:proofErr w:type="spellStart"/>
      <w:r w:rsidR="001353AA">
        <w:t>e.g</w:t>
      </w:r>
      <w:proofErr w:type="spellEnd"/>
      <w:r w:rsidR="001353AA">
        <w:t xml:space="preserve"> hypertension</w:t>
      </w:r>
      <w:r w:rsidR="006C0495">
        <w:t>, angina, a history of heart attack or heart failure, diabetes, kidney disease, obesity or</w:t>
      </w:r>
      <w:r w:rsidR="001353AA">
        <w:t xml:space="preserve"> smoking</w:t>
      </w:r>
      <w:r w:rsidR="006C0495">
        <w:t>.  T</w:t>
      </w:r>
      <w:r>
        <w:t xml:space="preserve">heir clinician may assess this risk and advise them accordingly. </w:t>
      </w:r>
    </w:p>
    <w:p w:rsidR="00E768CE" w:rsidRPr="00AE2766" w:rsidRDefault="00AE2766" w:rsidP="00E768CE">
      <w:pPr>
        <w:spacing w:after="0"/>
        <w:rPr>
          <w:rFonts w:cstheme="minorHAnsi"/>
          <w:b/>
          <w:sz w:val="24"/>
          <w:szCs w:val="24"/>
        </w:rPr>
      </w:pPr>
      <w:r w:rsidRPr="00AE2766">
        <w:rPr>
          <w:rFonts w:cstheme="minorHAnsi"/>
          <w:b/>
          <w:sz w:val="24"/>
          <w:szCs w:val="24"/>
        </w:rPr>
        <w:lastRenderedPageBreak/>
        <w:t xml:space="preserve">Section 4: </w:t>
      </w:r>
      <w:r w:rsidR="00E768CE" w:rsidRPr="00AE2766">
        <w:rPr>
          <w:rFonts w:cstheme="minorHAnsi"/>
          <w:b/>
          <w:sz w:val="24"/>
          <w:szCs w:val="24"/>
        </w:rPr>
        <w:t xml:space="preserve">Patient information: </w:t>
      </w:r>
      <w:r w:rsidR="00E768CE" w:rsidRPr="00AE2766">
        <w:rPr>
          <w:rFonts w:cstheme="minorHAnsi"/>
          <w:b/>
          <w:bCs/>
          <w:color w:val="2B3238"/>
          <w:sz w:val="24"/>
          <w:szCs w:val="24"/>
        </w:rPr>
        <w:t>Immunosuppressive medicines</w:t>
      </w:r>
      <w:r w:rsidR="00E768CE" w:rsidRPr="00AE2766">
        <w:rPr>
          <w:rFonts w:cstheme="minorHAnsi"/>
          <w:b/>
          <w:sz w:val="24"/>
          <w:szCs w:val="24"/>
        </w:rPr>
        <w:t xml:space="preserve"> </w:t>
      </w:r>
    </w:p>
    <w:p w:rsidR="00E768CE" w:rsidRPr="002F4604" w:rsidRDefault="00E768CE" w:rsidP="00E768CE">
      <w:pPr>
        <w:spacing w:before="300" w:after="300" w:line="240" w:lineRule="auto"/>
        <w:rPr>
          <w:rFonts w:eastAsia="Times New Roman" w:cstheme="minorHAnsi"/>
          <w:color w:val="2B3238"/>
          <w:lang w:val="en-IE" w:eastAsia="en-IE"/>
        </w:rPr>
      </w:pPr>
      <w:r w:rsidRPr="002F4604">
        <w:rPr>
          <w:rFonts w:eastAsia="Times New Roman" w:cstheme="minorHAnsi"/>
          <w:color w:val="2B3238"/>
          <w:lang w:val="en-IE" w:eastAsia="en-IE"/>
        </w:rPr>
        <w:t>This information is for people who are being cared for by a:</w:t>
      </w:r>
    </w:p>
    <w:p w:rsidR="00E768CE" w:rsidRPr="002F4604" w:rsidRDefault="00E768CE" w:rsidP="00E768CE">
      <w:pPr>
        <w:pStyle w:val="ListParagraph"/>
        <w:numPr>
          <w:ilvl w:val="0"/>
          <w:numId w:val="9"/>
        </w:numPr>
        <w:spacing w:before="100" w:beforeAutospacing="1" w:after="240" w:line="240" w:lineRule="auto"/>
        <w:rPr>
          <w:rFonts w:eastAsia="Times New Roman" w:cstheme="minorHAnsi"/>
          <w:color w:val="2B3238"/>
          <w:lang w:val="en-IE" w:eastAsia="en-IE"/>
        </w:rPr>
      </w:pPr>
      <w:r w:rsidRPr="002F4604">
        <w:rPr>
          <w:rFonts w:eastAsia="Times New Roman" w:cstheme="minorHAnsi"/>
          <w:color w:val="2B3238"/>
          <w:lang w:val="en-IE" w:eastAsia="en-IE"/>
        </w:rPr>
        <w:t>rheumatologist</w:t>
      </w:r>
    </w:p>
    <w:p w:rsidR="00E768CE" w:rsidRPr="002F4604" w:rsidRDefault="00E768CE" w:rsidP="00E768CE">
      <w:pPr>
        <w:pStyle w:val="ListParagraph"/>
        <w:numPr>
          <w:ilvl w:val="0"/>
          <w:numId w:val="9"/>
        </w:numPr>
        <w:spacing w:before="100" w:beforeAutospacing="1" w:after="240" w:line="240" w:lineRule="auto"/>
        <w:rPr>
          <w:rFonts w:eastAsia="Times New Roman" w:cstheme="minorHAnsi"/>
          <w:color w:val="2B3238"/>
          <w:lang w:val="en-IE" w:eastAsia="en-IE"/>
        </w:rPr>
      </w:pPr>
      <w:r w:rsidRPr="002F4604">
        <w:rPr>
          <w:rFonts w:eastAsia="Times New Roman" w:cstheme="minorHAnsi"/>
          <w:color w:val="2B3238"/>
          <w:lang w:val="en-IE" w:eastAsia="en-IE"/>
        </w:rPr>
        <w:t>dermatologist</w:t>
      </w:r>
    </w:p>
    <w:p w:rsidR="00E768CE" w:rsidRPr="002F4604" w:rsidRDefault="00E768CE" w:rsidP="00E768CE">
      <w:pPr>
        <w:pStyle w:val="ListParagraph"/>
        <w:numPr>
          <w:ilvl w:val="0"/>
          <w:numId w:val="9"/>
        </w:numPr>
        <w:spacing w:before="100" w:beforeAutospacing="1" w:after="240" w:line="240" w:lineRule="auto"/>
        <w:rPr>
          <w:rFonts w:eastAsia="Times New Roman" w:cstheme="minorHAnsi"/>
          <w:color w:val="2B3238"/>
          <w:lang w:val="en-IE" w:eastAsia="en-IE"/>
        </w:rPr>
      </w:pPr>
      <w:r w:rsidRPr="002F4604">
        <w:rPr>
          <w:rFonts w:eastAsia="Times New Roman" w:cstheme="minorHAnsi"/>
          <w:color w:val="2B3238"/>
          <w:lang w:val="en-IE" w:eastAsia="en-IE"/>
        </w:rPr>
        <w:t>gastroenterologist</w:t>
      </w:r>
    </w:p>
    <w:p w:rsidR="00E768CE" w:rsidRPr="002F4604" w:rsidRDefault="00E768CE" w:rsidP="00E768CE">
      <w:pPr>
        <w:pStyle w:val="ListParagraph"/>
        <w:numPr>
          <w:ilvl w:val="0"/>
          <w:numId w:val="9"/>
        </w:numPr>
        <w:spacing w:before="100" w:beforeAutospacing="1" w:after="240" w:line="240" w:lineRule="auto"/>
        <w:rPr>
          <w:rFonts w:eastAsia="Times New Roman" w:cstheme="minorHAnsi"/>
          <w:color w:val="2B3238"/>
          <w:lang w:val="en-IE" w:eastAsia="en-IE"/>
        </w:rPr>
      </w:pPr>
      <w:r w:rsidRPr="002F4604">
        <w:rPr>
          <w:rFonts w:eastAsia="Times New Roman" w:cstheme="minorHAnsi"/>
          <w:color w:val="2B3238"/>
          <w:lang w:val="en-IE" w:eastAsia="en-IE"/>
        </w:rPr>
        <w:t>respiratory specialist</w:t>
      </w:r>
    </w:p>
    <w:p w:rsidR="00E768CE" w:rsidRDefault="00E768CE" w:rsidP="00E768CE">
      <w:pPr>
        <w:spacing w:after="0"/>
      </w:pPr>
      <w:r>
        <w:t>Being on immunosuppressive treatments does not increase your risk of getting a COVID-19 infection (coronavirus).</w:t>
      </w:r>
    </w:p>
    <w:p w:rsidR="00E768CE" w:rsidRDefault="00E768CE" w:rsidP="00E768CE">
      <w:pPr>
        <w:spacing w:after="0"/>
      </w:pPr>
    </w:p>
    <w:p w:rsidR="00E768CE" w:rsidRDefault="00E768CE" w:rsidP="00E768CE">
      <w:pPr>
        <w:spacing w:after="0"/>
      </w:pPr>
      <w:r>
        <w:t xml:space="preserve">There is no evidence to date that being on an immunosuppressive treatment puts you at higher risk of severe disease with COVID-19.  </w:t>
      </w:r>
      <w:r w:rsidRPr="0058549A">
        <w:t xml:space="preserve">However, as other infections can cause severe illness in people who are on immunosuppressive treatment, you should take extra care. </w:t>
      </w:r>
    </w:p>
    <w:p w:rsidR="007B332A" w:rsidRDefault="007B332A" w:rsidP="00E768CE">
      <w:pPr>
        <w:spacing w:after="0"/>
      </w:pPr>
    </w:p>
    <w:p w:rsidR="007B332A" w:rsidRPr="007B332A" w:rsidRDefault="007B332A" w:rsidP="00E768CE">
      <w:pPr>
        <w:spacing w:after="0"/>
        <w:rPr>
          <w:u w:val="single"/>
        </w:rPr>
      </w:pPr>
      <w:r>
        <w:t xml:space="preserve">Current HSE advice on groups who should be cocooning is available </w:t>
      </w:r>
      <w:r w:rsidRPr="007B332A">
        <w:rPr>
          <w:u w:val="single"/>
        </w:rPr>
        <w:t xml:space="preserve">here. </w:t>
      </w:r>
    </w:p>
    <w:p w:rsidR="00E768CE" w:rsidRPr="002F4604" w:rsidRDefault="00E768CE" w:rsidP="00E768CE">
      <w:pPr>
        <w:spacing w:before="300" w:after="300" w:line="240" w:lineRule="auto"/>
        <w:rPr>
          <w:rFonts w:eastAsia="Times New Roman" w:cstheme="minorHAnsi"/>
          <w:color w:val="2B3238"/>
          <w:lang w:val="en-IE" w:eastAsia="en-IE"/>
        </w:rPr>
      </w:pPr>
      <w:r w:rsidRPr="002F4604">
        <w:rPr>
          <w:rFonts w:eastAsia="Times New Roman" w:cstheme="minorHAnsi"/>
          <w:color w:val="2B3238"/>
          <w:lang w:val="en-IE" w:eastAsia="en-IE"/>
        </w:rPr>
        <w:t>If you stop your medicine you may be more likely to have a flare of your condition during this period.</w:t>
      </w:r>
    </w:p>
    <w:p w:rsidR="00E768CE" w:rsidRPr="002F4604" w:rsidRDefault="00E768CE" w:rsidP="00E768CE">
      <w:pPr>
        <w:spacing w:before="300" w:after="300" w:line="240" w:lineRule="auto"/>
        <w:rPr>
          <w:rFonts w:eastAsia="Times New Roman" w:cstheme="minorHAnsi"/>
          <w:color w:val="2B3238"/>
          <w:lang w:val="en-IE" w:eastAsia="en-IE"/>
        </w:rPr>
      </w:pPr>
      <w:r w:rsidRPr="002F4604">
        <w:rPr>
          <w:rFonts w:eastAsia="Times New Roman" w:cstheme="minorHAnsi"/>
          <w:color w:val="2B3238"/>
          <w:lang w:val="en-IE" w:eastAsia="en-IE"/>
        </w:rPr>
        <w:t>Immunosuppressive medicines include:</w:t>
      </w:r>
    </w:p>
    <w:p w:rsidR="00E768CE" w:rsidRPr="00D9289E" w:rsidRDefault="00E768CE" w:rsidP="00E768CE">
      <w:pPr>
        <w:pStyle w:val="ListParagraph"/>
        <w:numPr>
          <w:ilvl w:val="0"/>
          <w:numId w:val="10"/>
        </w:numPr>
        <w:spacing w:before="100" w:beforeAutospacing="1" w:after="240" w:line="240" w:lineRule="auto"/>
        <w:rPr>
          <w:rFonts w:eastAsia="Times New Roman" w:cstheme="minorHAnsi"/>
          <w:color w:val="2B3238"/>
          <w:lang w:val="en-IE" w:eastAsia="en-IE"/>
        </w:rPr>
      </w:pPr>
      <w:r w:rsidRPr="00D9289E">
        <w:rPr>
          <w:rFonts w:eastAsia="Times New Roman" w:cstheme="minorHAnsi"/>
          <w:color w:val="2B3238"/>
          <w:lang w:val="en-IE" w:eastAsia="en-IE"/>
        </w:rPr>
        <w:t>biologic agents</w:t>
      </w:r>
    </w:p>
    <w:p w:rsidR="00E768CE" w:rsidRPr="00D9289E" w:rsidRDefault="00E768CE" w:rsidP="00E768CE">
      <w:pPr>
        <w:pStyle w:val="ListParagraph"/>
        <w:numPr>
          <w:ilvl w:val="0"/>
          <w:numId w:val="10"/>
        </w:numPr>
        <w:spacing w:before="100" w:beforeAutospacing="1" w:after="240" w:line="240" w:lineRule="auto"/>
        <w:rPr>
          <w:rFonts w:eastAsia="Times New Roman" w:cstheme="minorHAnsi"/>
          <w:color w:val="2B3238"/>
          <w:lang w:val="en-IE" w:eastAsia="en-IE"/>
        </w:rPr>
      </w:pPr>
      <w:r w:rsidRPr="00D9289E">
        <w:rPr>
          <w:rFonts w:eastAsia="Times New Roman" w:cstheme="minorHAnsi"/>
          <w:color w:val="2B3238"/>
          <w:lang w:val="en-IE" w:eastAsia="en-IE"/>
        </w:rPr>
        <w:t>steroids</w:t>
      </w:r>
    </w:p>
    <w:p w:rsidR="00E768CE" w:rsidRPr="00D9289E" w:rsidRDefault="00E768CE" w:rsidP="00E768CE">
      <w:pPr>
        <w:pStyle w:val="ListParagraph"/>
        <w:numPr>
          <w:ilvl w:val="0"/>
          <w:numId w:val="10"/>
        </w:numPr>
        <w:spacing w:before="100" w:beforeAutospacing="1" w:after="240" w:line="240" w:lineRule="auto"/>
        <w:rPr>
          <w:rFonts w:eastAsia="Times New Roman" w:cstheme="minorHAnsi"/>
          <w:color w:val="2B3238"/>
          <w:lang w:val="en-IE" w:eastAsia="en-IE"/>
        </w:rPr>
      </w:pPr>
      <w:r w:rsidRPr="00D9289E">
        <w:rPr>
          <w:rFonts w:eastAsia="Times New Roman" w:cstheme="minorHAnsi"/>
          <w:color w:val="2B3238"/>
          <w:lang w:val="en-IE" w:eastAsia="en-IE"/>
        </w:rPr>
        <w:t>methotrexate</w:t>
      </w:r>
    </w:p>
    <w:p w:rsidR="00E768CE" w:rsidRPr="00D9289E" w:rsidRDefault="00E768CE" w:rsidP="00E768CE">
      <w:pPr>
        <w:pStyle w:val="ListParagraph"/>
        <w:numPr>
          <w:ilvl w:val="0"/>
          <w:numId w:val="10"/>
        </w:numPr>
        <w:spacing w:before="100" w:beforeAutospacing="1" w:after="240" w:line="240" w:lineRule="auto"/>
        <w:rPr>
          <w:rFonts w:eastAsia="Times New Roman" w:cstheme="minorHAnsi"/>
          <w:color w:val="2B3238"/>
          <w:lang w:val="en-IE" w:eastAsia="en-IE"/>
        </w:rPr>
      </w:pPr>
      <w:r w:rsidRPr="00D9289E">
        <w:rPr>
          <w:rFonts w:eastAsia="Times New Roman" w:cstheme="minorHAnsi"/>
          <w:color w:val="2B3238"/>
          <w:lang w:val="en-IE" w:eastAsia="en-IE"/>
        </w:rPr>
        <w:t>azathioprine</w:t>
      </w:r>
    </w:p>
    <w:p w:rsidR="00E768CE" w:rsidRPr="00D9289E" w:rsidRDefault="00E768CE" w:rsidP="00E768CE">
      <w:pPr>
        <w:spacing w:before="300" w:after="300" w:line="240" w:lineRule="auto"/>
        <w:rPr>
          <w:rFonts w:ascii="&amp;quot" w:eastAsia="Times New Roman" w:hAnsi="&amp;quot" w:cs="Times New Roman"/>
          <w:color w:val="2B3238"/>
          <w:sz w:val="18"/>
          <w:lang w:val="en-IE" w:eastAsia="en-IE"/>
        </w:rPr>
      </w:pPr>
      <w:r w:rsidRPr="00D9289E">
        <w:rPr>
          <w:rFonts w:ascii="Arial" w:hAnsi="Arial" w:cs="Arial"/>
          <w:b/>
          <w:bCs/>
          <w:color w:val="2B3238"/>
          <w:sz w:val="32"/>
          <w:szCs w:val="38"/>
        </w:rPr>
        <w:t>Steroids</w:t>
      </w:r>
    </w:p>
    <w:p w:rsidR="00E768CE" w:rsidRPr="0058549A" w:rsidRDefault="00E768CE" w:rsidP="00E768CE">
      <w:pPr>
        <w:spacing w:before="300" w:after="300" w:line="240" w:lineRule="auto"/>
        <w:rPr>
          <w:rFonts w:eastAsia="Times New Roman" w:cstheme="minorHAnsi"/>
          <w:color w:val="2B3238"/>
          <w:lang w:val="en-IE" w:eastAsia="en-IE"/>
        </w:rPr>
      </w:pPr>
      <w:r w:rsidRPr="0058549A">
        <w:rPr>
          <w:rFonts w:eastAsia="Times New Roman" w:cstheme="minorHAnsi"/>
          <w:color w:val="2B3238"/>
          <w:lang w:val="en-IE" w:eastAsia="en-IE"/>
        </w:rPr>
        <w:t>Keep taking steroids if you are usually on them unless your doctor tells you otherwise. Stopping steroids suddenly can make you very unwell.</w:t>
      </w:r>
    </w:p>
    <w:p w:rsidR="00E768CE" w:rsidRPr="0058549A" w:rsidRDefault="00E768CE" w:rsidP="00E768CE">
      <w:pPr>
        <w:spacing w:before="300" w:after="300" w:line="240" w:lineRule="auto"/>
        <w:rPr>
          <w:rFonts w:eastAsia="Times New Roman" w:cstheme="minorHAnsi"/>
          <w:color w:val="2B3238"/>
          <w:lang w:val="en-IE" w:eastAsia="en-IE"/>
        </w:rPr>
      </w:pPr>
      <w:r w:rsidRPr="0058549A">
        <w:rPr>
          <w:rFonts w:eastAsia="Times New Roman" w:cstheme="minorHAnsi"/>
          <w:color w:val="2B3238"/>
          <w:lang w:val="en-IE" w:eastAsia="en-IE"/>
        </w:rPr>
        <w:t>If you become unwell due to coronavirus or another infection, continue to take your steroids.</w:t>
      </w:r>
    </w:p>
    <w:p w:rsidR="00E768CE" w:rsidRPr="0058549A" w:rsidRDefault="00E768CE" w:rsidP="00E768CE">
      <w:pPr>
        <w:spacing w:before="300" w:after="300" w:line="240" w:lineRule="auto"/>
        <w:rPr>
          <w:rFonts w:eastAsia="Times New Roman" w:cstheme="minorHAnsi"/>
          <w:color w:val="2B3238"/>
          <w:lang w:val="en-IE" w:eastAsia="en-IE"/>
        </w:rPr>
      </w:pPr>
      <w:r w:rsidRPr="0058549A">
        <w:rPr>
          <w:rFonts w:eastAsia="Times New Roman" w:cstheme="minorHAnsi"/>
          <w:color w:val="2B3238"/>
          <w:lang w:val="en-IE" w:eastAsia="en-IE"/>
        </w:rPr>
        <w:t>Never start taking steroids unless your doctor tells you to.</w:t>
      </w:r>
    </w:p>
    <w:p w:rsidR="00E768CE" w:rsidRPr="0058549A" w:rsidRDefault="00E768CE" w:rsidP="00E768CE">
      <w:pPr>
        <w:spacing w:before="300" w:after="300" w:line="240" w:lineRule="auto"/>
        <w:rPr>
          <w:rFonts w:eastAsia="Times New Roman" w:cstheme="minorHAnsi"/>
          <w:color w:val="2B3238"/>
          <w:lang w:val="en-IE" w:eastAsia="en-IE"/>
        </w:rPr>
      </w:pPr>
      <w:r w:rsidRPr="0058549A">
        <w:rPr>
          <w:rFonts w:eastAsia="Times New Roman" w:cstheme="minorHAnsi"/>
          <w:color w:val="2B3238"/>
          <w:lang w:val="en-IE" w:eastAsia="en-IE"/>
        </w:rPr>
        <w:t xml:space="preserve">Steroid tablets include prednisolone – brand name: </w:t>
      </w:r>
      <w:proofErr w:type="spellStart"/>
      <w:r w:rsidRPr="0058549A">
        <w:rPr>
          <w:rFonts w:eastAsia="Times New Roman" w:cstheme="minorHAnsi"/>
          <w:color w:val="2B3238"/>
          <w:lang w:val="en-IE" w:eastAsia="en-IE"/>
        </w:rPr>
        <w:t>Deltacortril</w:t>
      </w:r>
      <w:proofErr w:type="spellEnd"/>
      <w:r w:rsidRPr="0058549A">
        <w:rPr>
          <w:rFonts w:eastAsia="Times New Roman" w:cstheme="minorHAnsi"/>
          <w:color w:val="2B3238"/>
          <w:lang w:val="en-IE" w:eastAsia="en-IE"/>
        </w:rPr>
        <w:t>.</w:t>
      </w:r>
    </w:p>
    <w:p w:rsidR="00E768CE" w:rsidRPr="0058549A" w:rsidRDefault="00E768CE" w:rsidP="00E768CE">
      <w:pPr>
        <w:shd w:val="clear" w:color="auto" w:fill="FFFFFF"/>
        <w:spacing w:before="100" w:beforeAutospacing="1" w:after="100" w:afterAutospacing="1"/>
        <w:rPr>
          <w:rFonts w:cstheme="minorHAnsi"/>
        </w:rPr>
      </w:pPr>
      <w:r w:rsidRPr="0058549A">
        <w:rPr>
          <w:rFonts w:cstheme="minorHAnsi"/>
        </w:rPr>
        <w:t xml:space="preserve">Other steroid medicines do not usually cause immunosuppression.  This includes inhalers (inhaled corticosteroids) which are often known as preventer inhalers.  It is very important to continue to take your preventer inhaler.  This will decrease your risk of an asthma attack or COPD exacerbation and reduce your respiratory symptoms.  </w:t>
      </w:r>
    </w:p>
    <w:p w:rsidR="00E768CE" w:rsidRPr="0058549A" w:rsidRDefault="00E768CE" w:rsidP="00E768CE">
      <w:pPr>
        <w:shd w:val="clear" w:color="auto" w:fill="FFFFFF"/>
        <w:spacing w:before="100" w:beforeAutospacing="1" w:after="100" w:afterAutospacing="1"/>
        <w:rPr>
          <w:rFonts w:cstheme="minorHAnsi"/>
        </w:rPr>
      </w:pPr>
      <w:r w:rsidRPr="0058549A">
        <w:rPr>
          <w:rFonts w:cstheme="minorHAnsi"/>
        </w:rPr>
        <w:t xml:space="preserve">Other steroid medicines include nasal sprays or drops, creams and eye or ear drops.  All of these medicines should be continued and used as you normally would. </w:t>
      </w:r>
    </w:p>
    <w:p w:rsidR="00E768CE" w:rsidRPr="00D9289E" w:rsidRDefault="00E768CE" w:rsidP="00E768CE">
      <w:pPr>
        <w:spacing w:before="300" w:after="300" w:line="240" w:lineRule="auto"/>
        <w:rPr>
          <w:rFonts w:ascii="&amp;quot" w:eastAsia="Times New Roman" w:hAnsi="&amp;quot" w:cs="Times New Roman"/>
          <w:color w:val="2B3238"/>
          <w:sz w:val="28"/>
          <w:szCs w:val="28"/>
          <w:lang w:val="en-IE" w:eastAsia="en-IE"/>
        </w:rPr>
      </w:pPr>
    </w:p>
    <w:p w:rsidR="00E768CE" w:rsidRPr="00D43592" w:rsidRDefault="00E768CE" w:rsidP="00E768CE">
      <w:pPr>
        <w:pStyle w:val="Heading3"/>
        <w:spacing w:before="600" w:beforeAutospacing="0" w:after="240" w:afterAutospacing="0" w:line="461" w:lineRule="atLeast"/>
        <w:rPr>
          <w:rFonts w:ascii="Arial" w:hAnsi="Arial" w:cs="Arial"/>
          <w:color w:val="2B3238"/>
          <w:sz w:val="32"/>
          <w:szCs w:val="32"/>
        </w:rPr>
      </w:pPr>
      <w:r w:rsidRPr="00D43592">
        <w:rPr>
          <w:rFonts w:ascii="Arial" w:hAnsi="Arial" w:cs="Arial"/>
          <w:color w:val="2B3238"/>
          <w:sz w:val="32"/>
          <w:szCs w:val="32"/>
        </w:rPr>
        <w:lastRenderedPageBreak/>
        <w:t>Immunosuppressive treatments</w:t>
      </w:r>
    </w:p>
    <w:p w:rsidR="00E768CE" w:rsidRPr="00D9289E" w:rsidRDefault="00E768CE" w:rsidP="00E768CE">
      <w:pPr>
        <w:pStyle w:val="NormalWeb"/>
        <w:spacing w:before="300" w:beforeAutospacing="0" w:after="300" w:afterAutospacing="0"/>
        <w:rPr>
          <w:rFonts w:asciiTheme="minorHAnsi" w:hAnsiTheme="minorHAnsi" w:cstheme="minorHAnsi"/>
          <w:color w:val="2B3238"/>
          <w:sz w:val="22"/>
          <w:szCs w:val="22"/>
        </w:rPr>
      </w:pPr>
      <w:r w:rsidRPr="00D9289E">
        <w:rPr>
          <w:rFonts w:asciiTheme="minorHAnsi" w:hAnsiTheme="minorHAnsi" w:cstheme="minorHAnsi"/>
          <w:color w:val="2B3238"/>
          <w:sz w:val="22"/>
          <w:szCs w:val="22"/>
        </w:rPr>
        <w:t>If you attend a consultant, ask them if they recommend any changes to your treatment. But do not make changes unless your doctor tells you to.</w:t>
      </w:r>
    </w:p>
    <w:p w:rsidR="00E768CE" w:rsidRPr="0058549A" w:rsidRDefault="00E768CE" w:rsidP="00E768CE">
      <w:pPr>
        <w:spacing w:after="0"/>
      </w:pPr>
      <w:r w:rsidRPr="00D9289E">
        <w:rPr>
          <w:rFonts w:cstheme="minorHAnsi"/>
          <w:color w:val="2B3238"/>
        </w:rPr>
        <w:t>There is no evidence to-date that being on an immunosuppressive treatment puts you at higher risk of severe disease.</w:t>
      </w:r>
      <w:r>
        <w:rPr>
          <w:rFonts w:cstheme="minorHAnsi"/>
          <w:color w:val="2B3238"/>
        </w:rPr>
        <w:t xml:space="preserve">  </w:t>
      </w:r>
      <w:r w:rsidRPr="0058549A">
        <w:t xml:space="preserve">However, as other infections can cause severe illness in people who are on immunosuppressive treatment, you should take extra care. </w:t>
      </w:r>
    </w:p>
    <w:p w:rsidR="00E768CE" w:rsidRPr="00D9289E" w:rsidRDefault="00E768CE" w:rsidP="00E768CE">
      <w:pPr>
        <w:pStyle w:val="NormalWeb"/>
        <w:spacing w:before="300" w:beforeAutospacing="0" w:after="300" w:afterAutospacing="0"/>
        <w:rPr>
          <w:rFonts w:asciiTheme="minorHAnsi" w:hAnsiTheme="minorHAnsi" w:cstheme="minorHAnsi"/>
          <w:color w:val="2B3238"/>
          <w:sz w:val="22"/>
          <w:szCs w:val="22"/>
        </w:rPr>
      </w:pPr>
      <w:r w:rsidRPr="00D9289E">
        <w:rPr>
          <w:rFonts w:asciiTheme="minorHAnsi" w:hAnsiTheme="minorHAnsi" w:cstheme="minorHAnsi"/>
          <w:color w:val="2B3238"/>
          <w:sz w:val="22"/>
          <w:szCs w:val="22"/>
        </w:rPr>
        <w:t xml:space="preserve">If you usually have regular blood tests, these should continue. But ring your hospital first as some </w:t>
      </w:r>
      <w:hyperlink r:id="rId7" w:history="1">
        <w:r w:rsidRPr="00D9289E">
          <w:rPr>
            <w:rStyle w:val="Hyperlink"/>
            <w:rFonts w:asciiTheme="minorHAnsi" w:hAnsiTheme="minorHAnsi" w:cstheme="minorHAnsi"/>
            <w:color w:val="0F45A0"/>
            <w:sz w:val="22"/>
            <w:szCs w:val="22"/>
          </w:rPr>
          <w:t>hospital services are disrupted</w:t>
        </w:r>
      </w:hyperlink>
      <w:r w:rsidRPr="00D9289E">
        <w:rPr>
          <w:rFonts w:asciiTheme="minorHAnsi" w:hAnsiTheme="minorHAnsi" w:cstheme="minorHAnsi"/>
          <w:color w:val="2B3238"/>
          <w:sz w:val="22"/>
          <w:szCs w:val="22"/>
        </w:rPr>
        <w:t>.</w:t>
      </w:r>
    </w:p>
    <w:p w:rsidR="00E768CE" w:rsidRPr="00D9289E" w:rsidRDefault="00E768CE" w:rsidP="00E768CE">
      <w:pPr>
        <w:spacing w:after="0"/>
      </w:pPr>
      <w:r>
        <w:t xml:space="preserve">If you become unwell due to coronavirus or another infection, continue to take your steroids. Contact your GP or consultant to ask if they recommend any changes to your steroids or other immunosuppressant treatment. Do this before taking the next dose of your immunosuppressant treatment. </w:t>
      </w:r>
    </w:p>
    <w:p w:rsidR="00E768CE" w:rsidRPr="0058549A" w:rsidRDefault="00E768CE" w:rsidP="00E768CE">
      <w:pPr>
        <w:pStyle w:val="NormalWeb"/>
        <w:spacing w:before="300" w:beforeAutospacing="0" w:after="300" w:afterAutospacing="0"/>
        <w:rPr>
          <w:rFonts w:asciiTheme="minorHAnsi" w:hAnsiTheme="minorHAnsi" w:cstheme="minorHAnsi"/>
          <w:sz w:val="22"/>
          <w:szCs w:val="22"/>
        </w:rPr>
      </w:pPr>
      <w:r w:rsidRPr="0058549A">
        <w:rPr>
          <w:rFonts w:asciiTheme="minorHAnsi" w:hAnsiTheme="minorHAnsi" w:cstheme="minorHAnsi"/>
          <w:sz w:val="22"/>
          <w:szCs w:val="22"/>
        </w:rPr>
        <w:t>The coronavirus pandemic may last several months. If you reduce or stop your medicine you may be more likely to have a flare during this period. This means you might need to restart your treatment and attend your GP or hospital.</w:t>
      </w:r>
    </w:p>
    <w:p w:rsidR="00E768CE" w:rsidRPr="0058549A" w:rsidRDefault="00E768CE" w:rsidP="00E768CE">
      <w:pPr>
        <w:pStyle w:val="NormalWeb"/>
        <w:spacing w:before="300" w:beforeAutospacing="0" w:after="300" w:afterAutospacing="0"/>
        <w:rPr>
          <w:rFonts w:asciiTheme="minorHAnsi" w:hAnsiTheme="minorHAnsi" w:cstheme="minorHAnsi"/>
          <w:sz w:val="22"/>
          <w:szCs w:val="22"/>
        </w:rPr>
      </w:pPr>
      <w:r w:rsidRPr="0058549A">
        <w:rPr>
          <w:rFonts w:asciiTheme="minorHAnsi" w:hAnsiTheme="minorHAnsi" w:cstheme="minorHAnsi"/>
          <w:sz w:val="22"/>
          <w:szCs w:val="22"/>
        </w:rPr>
        <w:t>The immunosuppressant effect of each medicine continues for different periods of time after you stop them.  You may still be immunosuppressed for a period of time if you stop them, often for many months.</w:t>
      </w:r>
    </w:p>
    <w:p w:rsidR="00E768CE" w:rsidRPr="0058549A" w:rsidRDefault="00E768CE" w:rsidP="00E768CE">
      <w:r w:rsidRPr="0058549A">
        <w:t xml:space="preserve">Please </w:t>
      </w:r>
      <w:r w:rsidRPr="00AE2766">
        <w:t xml:space="preserve">check </w:t>
      </w:r>
      <w:hyperlink r:id="rId8" w:history="1">
        <w:r w:rsidR="00AE2766" w:rsidRPr="0084594C">
          <w:rPr>
            <w:rStyle w:val="Hyperlink"/>
          </w:rPr>
          <w:t>www.hse.ie</w:t>
        </w:r>
      </w:hyperlink>
      <w:r w:rsidR="00AE2766">
        <w:t xml:space="preserve"> </w:t>
      </w:r>
      <w:r w:rsidRPr="0058549A">
        <w:t xml:space="preserve"> for current HSE advice about cocooning.</w:t>
      </w:r>
    </w:p>
    <w:p w:rsidR="00E768CE" w:rsidRPr="0058549A" w:rsidRDefault="00E768CE" w:rsidP="00E768CE">
      <w:pPr>
        <w:rPr>
          <w:rFonts w:cstheme="minorHAnsi"/>
          <w:lang w:val="en-IE"/>
        </w:rPr>
      </w:pPr>
      <w:r w:rsidRPr="0058549A">
        <w:rPr>
          <w:rFonts w:cstheme="minorHAnsi"/>
        </w:rPr>
        <w:t>If you are an essential worker on an immunosuppressant medicine, you</w:t>
      </w:r>
      <w:r w:rsidRPr="0058549A">
        <w:rPr>
          <w:rFonts w:cstheme="minorHAnsi"/>
          <w:lang w:val="en-IE"/>
        </w:rPr>
        <w:t xml:space="preserve"> should notify Occupational Health </w:t>
      </w:r>
      <w:r>
        <w:rPr>
          <w:rFonts w:cstheme="minorHAnsi"/>
          <w:lang w:val="en-IE"/>
        </w:rPr>
        <w:t xml:space="preserve">or your GP </w:t>
      </w:r>
      <w:r w:rsidRPr="0058549A">
        <w:rPr>
          <w:rFonts w:cstheme="minorHAnsi"/>
          <w:lang w:val="en-IE"/>
        </w:rPr>
        <w:t xml:space="preserve">to discuss your options for safe working.  </w:t>
      </w:r>
    </w:p>
    <w:p w:rsidR="00E768CE" w:rsidRPr="0058549A" w:rsidRDefault="00E768CE" w:rsidP="00E768CE">
      <w:pPr>
        <w:spacing w:after="0"/>
      </w:pPr>
      <w:r w:rsidRPr="0058549A">
        <w:rPr>
          <w:rFonts w:cstheme="minorHAnsi"/>
          <w:lang w:val="en-IE"/>
        </w:rPr>
        <w:t xml:space="preserve">Further information about the level of risk with </w:t>
      </w:r>
      <w:r w:rsidR="00AE2766">
        <w:rPr>
          <w:rFonts w:cstheme="minorHAnsi"/>
          <w:lang w:val="en-IE"/>
        </w:rPr>
        <w:t>each medicine is available</w:t>
      </w:r>
      <w:r w:rsidRPr="0058549A">
        <w:rPr>
          <w:rFonts w:cstheme="minorHAnsi"/>
          <w:lang w:val="en-IE"/>
        </w:rPr>
        <w:t xml:space="preserve">.  </w:t>
      </w:r>
      <w:r w:rsidRPr="0058549A">
        <w:t>This list includes some of the medicines used for the treatment of auto-immune conditions (e.g. rheumatoid arthritis, psoriasis, inflammatory bowel disease) which may increase the risk of infecti</w:t>
      </w:r>
      <w:r>
        <w:t>on in general</w:t>
      </w:r>
      <w:r w:rsidRPr="0058549A">
        <w:t xml:space="preserve">. The list is not exhaustive and for up to date information on all licensed medicines in Ireland visit </w:t>
      </w:r>
      <w:hyperlink r:id="rId9" w:history="1">
        <w:r w:rsidRPr="0058549A">
          <w:rPr>
            <w:rStyle w:val="Hyperlink"/>
          </w:rPr>
          <w:t>www.hpra.ie</w:t>
        </w:r>
      </w:hyperlink>
      <w:r w:rsidRPr="0058549A">
        <w:t xml:space="preserve"> </w:t>
      </w:r>
    </w:p>
    <w:p w:rsidR="00E768CE" w:rsidRPr="00172D29" w:rsidRDefault="00E768CE" w:rsidP="00E768CE">
      <w:pPr>
        <w:spacing w:after="0"/>
        <w:rPr>
          <w:i/>
        </w:rPr>
      </w:pPr>
    </w:p>
    <w:p w:rsidR="00E768CE" w:rsidRPr="00172D29" w:rsidRDefault="00E768CE" w:rsidP="00E768CE">
      <w:pPr>
        <w:rPr>
          <w:rFonts w:cstheme="minorHAnsi"/>
          <w:i/>
          <w:lang w:val="en-IE"/>
        </w:rPr>
      </w:pPr>
    </w:p>
    <w:p w:rsidR="00E768CE" w:rsidRPr="00172D29" w:rsidRDefault="00E768CE" w:rsidP="00E768CE">
      <w:pPr>
        <w:spacing w:after="0"/>
        <w:rPr>
          <w:rFonts w:cstheme="minorHAnsi"/>
          <w:i/>
        </w:rPr>
      </w:pPr>
    </w:p>
    <w:p w:rsidR="008000DA" w:rsidRDefault="008000DA">
      <w:r>
        <w:br w:type="page"/>
      </w:r>
    </w:p>
    <w:p w:rsidR="008000DA" w:rsidRPr="008000DA" w:rsidRDefault="008000DA" w:rsidP="008000DA">
      <w:pPr>
        <w:rPr>
          <w:b/>
          <w:lang w:val="en-US"/>
        </w:rPr>
      </w:pPr>
      <w:r w:rsidRPr="008000DA">
        <w:rPr>
          <w:b/>
          <w:lang w:val="en-US"/>
        </w:rPr>
        <w:lastRenderedPageBreak/>
        <w:t>References</w:t>
      </w:r>
    </w:p>
    <w:p w:rsidR="008000DA" w:rsidRDefault="00BC0943" w:rsidP="008000DA">
      <w:pPr>
        <w:rPr>
          <w:lang w:val="en-US"/>
        </w:rPr>
      </w:pPr>
      <w:r>
        <w:rPr>
          <w:lang w:val="en-US"/>
        </w:rPr>
        <w:t xml:space="preserve">Individual Summary of Product Characteristics for each drug </w:t>
      </w:r>
      <w:hyperlink r:id="rId10" w:history="1">
        <w:r w:rsidRPr="00B417EA">
          <w:rPr>
            <w:rStyle w:val="Hyperlink"/>
            <w:lang w:val="en-US"/>
          </w:rPr>
          <w:t>www.hpra.ie</w:t>
        </w:r>
      </w:hyperlink>
      <w:r>
        <w:rPr>
          <w:lang w:val="en-US"/>
        </w:rPr>
        <w:t xml:space="preserve"> (accessed 1</w:t>
      </w:r>
      <w:r w:rsidRPr="00BC0943">
        <w:rPr>
          <w:vertAlign w:val="superscript"/>
          <w:lang w:val="en-US"/>
        </w:rPr>
        <w:t>st</w:t>
      </w:r>
      <w:r>
        <w:rPr>
          <w:lang w:val="en-US"/>
        </w:rPr>
        <w:t xml:space="preserve"> April 2020)</w:t>
      </w:r>
    </w:p>
    <w:p w:rsidR="008000DA" w:rsidRDefault="008000DA" w:rsidP="008000DA">
      <w:pPr>
        <w:rPr>
          <w:lang w:val="en-US"/>
        </w:rPr>
      </w:pPr>
      <w:r>
        <w:rPr>
          <w:lang w:val="en-US"/>
        </w:rPr>
        <w:t>Occ</w:t>
      </w:r>
      <w:r w:rsidR="00BC0943">
        <w:rPr>
          <w:lang w:val="en-US"/>
        </w:rPr>
        <w:t>upational</w:t>
      </w:r>
      <w:r>
        <w:rPr>
          <w:lang w:val="en-US"/>
        </w:rPr>
        <w:t xml:space="preserve"> health guidance </w:t>
      </w:r>
      <w:r w:rsidR="00BC0943">
        <w:rPr>
          <w:lang w:val="en-US"/>
        </w:rPr>
        <w:t>issued 31</w:t>
      </w:r>
      <w:r w:rsidR="00BC0943" w:rsidRPr="00BC0943">
        <w:rPr>
          <w:vertAlign w:val="superscript"/>
          <w:lang w:val="en-US"/>
        </w:rPr>
        <w:t>st</w:t>
      </w:r>
      <w:r w:rsidR="00BC0943">
        <w:rPr>
          <w:lang w:val="en-US"/>
        </w:rPr>
        <w:t xml:space="preserve"> March 2020</w:t>
      </w:r>
      <w:r>
        <w:rPr>
          <w:lang w:val="en-US"/>
        </w:rPr>
        <w:t xml:space="preserve">. </w:t>
      </w:r>
      <w:hyperlink r:id="rId11" w:history="1">
        <w:r>
          <w:rPr>
            <w:rStyle w:val="Hyperlink"/>
          </w:rPr>
          <w:t>https://www.hpsc.ie/a-z/respiratory/coronavirus/novelcoronavirus/guidance/occupationalhealthguidance/Pregnant%20HCWs,%20Vulnerable%20HCWs&amp;%20Other%20HCWs%20with%20Pre-existing%20Disease%20V3%2030%2003%2020.pdf</w:t>
        </w:r>
      </w:hyperlink>
    </w:p>
    <w:p w:rsidR="00B50DCD" w:rsidRDefault="00B50DCD" w:rsidP="008000DA">
      <w:pPr>
        <w:rPr>
          <w:lang w:val="en-US"/>
        </w:rPr>
      </w:pPr>
      <w:proofErr w:type="gramStart"/>
      <w:r>
        <w:rPr>
          <w:lang w:val="en-US"/>
        </w:rPr>
        <w:t xml:space="preserve">National </w:t>
      </w:r>
      <w:proofErr w:type="spellStart"/>
      <w:r>
        <w:rPr>
          <w:lang w:val="en-US"/>
        </w:rPr>
        <w:t>Immunisation</w:t>
      </w:r>
      <w:proofErr w:type="spellEnd"/>
      <w:r>
        <w:rPr>
          <w:lang w:val="en-US"/>
        </w:rPr>
        <w:t xml:space="preserve"> Guidance.</w:t>
      </w:r>
      <w:proofErr w:type="gramEnd"/>
      <w:r>
        <w:rPr>
          <w:lang w:val="en-US"/>
        </w:rPr>
        <w:t xml:space="preserve">  </w:t>
      </w:r>
      <w:proofErr w:type="spellStart"/>
      <w:proofErr w:type="gramStart"/>
      <w:r>
        <w:rPr>
          <w:lang w:val="en-US"/>
        </w:rPr>
        <w:t>Immunisation</w:t>
      </w:r>
      <w:proofErr w:type="spellEnd"/>
      <w:r>
        <w:rPr>
          <w:lang w:val="en-US"/>
        </w:rPr>
        <w:t xml:space="preserve"> of </w:t>
      </w:r>
      <w:proofErr w:type="spellStart"/>
      <w:r>
        <w:rPr>
          <w:lang w:val="en-US"/>
        </w:rPr>
        <w:t>Immunocompromised</w:t>
      </w:r>
      <w:proofErr w:type="spellEnd"/>
      <w:r>
        <w:rPr>
          <w:lang w:val="en-US"/>
        </w:rPr>
        <w:t xml:space="preserve"> Persons </w:t>
      </w:r>
      <w:proofErr w:type="spellStart"/>
      <w:r>
        <w:rPr>
          <w:lang w:val="en-US"/>
        </w:rPr>
        <w:t>Ch</w:t>
      </w:r>
      <w:proofErr w:type="spellEnd"/>
      <w:r>
        <w:rPr>
          <w:lang w:val="en-US"/>
        </w:rPr>
        <w:t xml:space="preserve"> 3.</w:t>
      </w:r>
      <w:proofErr w:type="gramEnd"/>
      <w:r>
        <w:rPr>
          <w:lang w:val="en-US"/>
        </w:rPr>
        <w:t xml:space="preserve"> </w:t>
      </w:r>
      <w:hyperlink r:id="rId12" w:history="1">
        <w:r w:rsidRPr="00B417EA">
          <w:rPr>
            <w:rStyle w:val="Hyperlink"/>
            <w:lang w:val="en-US"/>
          </w:rPr>
          <w:t>https://www.hse.ie/eng/health/immunisation/hcpinfo/guidelines/chapter3.pdf</w:t>
        </w:r>
      </w:hyperlink>
      <w:r>
        <w:rPr>
          <w:lang w:val="en-US"/>
        </w:rPr>
        <w:t xml:space="preserve">  (accessed 1</w:t>
      </w:r>
      <w:r w:rsidRPr="00B50DCD">
        <w:rPr>
          <w:vertAlign w:val="superscript"/>
          <w:lang w:val="en-US"/>
        </w:rPr>
        <w:t>st</w:t>
      </w:r>
      <w:r>
        <w:rPr>
          <w:lang w:val="en-US"/>
        </w:rPr>
        <w:t xml:space="preserve"> April 2020)</w:t>
      </w:r>
    </w:p>
    <w:p w:rsidR="008000DA" w:rsidRDefault="008000DA" w:rsidP="008000DA">
      <w:r>
        <w:rPr>
          <w:lang w:val="en-US"/>
        </w:rPr>
        <w:t xml:space="preserve">The HSE list of </w:t>
      </w:r>
      <w:proofErr w:type="spellStart"/>
      <w:r>
        <w:rPr>
          <w:lang w:val="en-US"/>
        </w:rPr>
        <w:t>immunosuppressants</w:t>
      </w:r>
      <w:proofErr w:type="spellEnd"/>
      <w:r>
        <w:rPr>
          <w:lang w:val="en-US"/>
        </w:rPr>
        <w:t xml:space="preserve"> from sepsis </w:t>
      </w:r>
      <w:proofErr w:type="spellStart"/>
      <w:r>
        <w:rPr>
          <w:lang w:val="en-US"/>
        </w:rPr>
        <w:t>programme</w:t>
      </w:r>
      <w:proofErr w:type="spellEnd"/>
      <w:r w:rsidR="00B50DCD">
        <w:rPr>
          <w:lang w:val="en-US"/>
        </w:rPr>
        <w:t>:</w:t>
      </w:r>
      <w:r>
        <w:rPr>
          <w:lang w:val="en-US"/>
        </w:rPr>
        <w:t xml:space="preserve"> </w:t>
      </w:r>
      <w:hyperlink r:id="rId13" w:history="1">
        <w:r>
          <w:rPr>
            <w:rStyle w:val="Hyperlink"/>
          </w:rPr>
          <w:t>https://www.hse.ie/eng/services/publications/clinical-strategy-and-programmes/list-of-immunosuppressant-medication.pdf</w:t>
        </w:r>
      </w:hyperlink>
      <w:r w:rsidR="00B50DCD">
        <w:t xml:space="preserve"> </w:t>
      </w:r>
      <w:r w:rsidR="00B50DCD">
        <w:rPr>
          <w:lang w:val="en-US"/>
        </w:rPr>
        <w:t>(accessed 1</w:t>
      </w:r>
      <w:r w:rsidR="00B50DCD" w:rsidRPr="00BC0943">
        <w:rPr>
          <w:vertAlign w:val="superscript"/>
          <w:lang w:val="en-US"/>
        </w:rPr>
        <w:t>st</w:t>
      </w:r>
      <w:r w:rsidR="00B50DCD">
        <w:rPr>
          <w:lang w:val="en-US"/>
        </w:rPr>
        <w:t xml:space="preserve"> April 2020)</w:t>
      </w:r>
    </w:p>
    <w:p w:rsidR="00BC0943" w:rsidRDefault="00BC0943" w:rsidP="00BC0943">
      <w:pPr>
        <w:rPr>
          <w:lang w:val="en-US"/>
        </w:rPr>
      </w:pPr>
      <w:r>
        <w:rPr>
          <w:lang w:val="en-US"/>
        </w:rPr>
        <w:t xml:space="preserve">Current HSE.ie text on </w:t>
      </w:r>
      <w:proofErr w:type="spellStart"/>
      <w:r>
        <w:rPr>
          <w:lang w:val="en-US"/>
        </w:rPr>
        <w:t>immunosuppressants</w:t>
      </w:r>
      <w:proofErr w:type="spellEnd"/>
      <w:r>
        <w:rPr>
          <w:lang w:val="en-US"/>
        </w:rPr>
        <w:t xml:space="preserve"> </w:t>
      </w:r>
      <w:hyperlink r:id="rId14" w:history="1">
        <w:r>
          <w:rPr>
            <w:rStyle w:val="Hyperlink"/>
            <w:lang w:val="en-US"/>
          </w:rPr>
          <w:t>www.hse.ie/coronavirus</w:t>
        </w:r>
      </w:hyperlink>
      <w:r>
        <w:rPr>
          <w:lang w:val="en-US"/>
        </w:rPr>
        <w:t xml:space="preserve"> in the Treatment section updated 20</w:t>
      </w:r>
      <w:r w:rsidRPr="00BC0943">
        <w:rPr>
          <w:vertAlign w:val="superscript"/>
          <w:lang w:val="en-US"/>
        </w:rPr>
        <w:t>th</w:t>
      </w:r>
      <w:r>
        <w:rPr>
          <w:lang w:val="en-US"/>
        </w:rPr>
        <w:t xml:space="preserve"> March 2020.</w:t>
      </w:r>
    </w:p>
    <w:p w:rsidR="00BC0943" w:rsidRDefault="00BC0943" w:rsidP="008000DA">
      <w:pPr>
        <w:rPr>
          <w:lang w:val="en-US"/>
        </w:rPr>
      </w:pPr>
    </w:p>
    <w:p w:rsidR="008000DA" w:rsidRDefault="008000DA" w:rsidP="008000DA">
      <w:pPr>
        <w:rPr>
          <w:lang w:val="en-US"/>
        </w:rPr>
      </w:pPr>
    </w:p>
    <w:p w:rsidR="00E768CE" w:rsidRPr="001C4B5B" w:rsidRDefault="00E768CE" w:rsidP="00E768CE"/>
    <w:p w:rsidR="00E768CE" w:rsidRDefault="00E768CE" w:rsidP="00E768CE"/>
    <w:p w:rsidR="00434192" w:rsidRPr="00E768CE" w:rsidRDefault="00434192">
      <w:pPr>
        <w:rPr>
          <w:b/>
        </w:rPr>
      </w:pPr>
    </w:p>
    <w:sectPr w:rsidR="00434192" w:rsidRPr="00E76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DA"/>
    <w:multiLevelType w:val="hybridMultilevel"/>
    <w:tmpl w:val="C0C4CCA8"/>
    <w:lvl w:ilvl="0" w:tplc="26281584">
      <w:numFmt w:val="bullet"/>
      <w:lvlText w:val="•"/>
      <w:lvlJc w:val="left"/>
      <w:pPr>
        <w:ind w:left="1440" w:hanging="72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6C5AE2"/>
    <w:multiLevelType w:val="hybridMultilevel"/>
    <w:tmpl w:val="A64C1B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E939B4"/>
    <w:multiLevelType w:val="hybridMultilevel"/>
    <w:tmpl w:val="C8CE1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E1320E"/>
    <w:multiLevelType w:val="hybridMultilevel"/>
    <w:tmpl w:val="E67A8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320202"/>
    <w:multiLevelType w:val="hybridMultilevel"/>
    <w:tmpl w:val="1D8A84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047FD2"/>
    <w:multiLevelType w:val="hybridMultilevel"/>
    <w:tmpl w:val="A7142960"/>
    <w:lvl w:ilvl="0" w:tplc="2628158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156BFD"/>
    <w:multiLevelType w:val="hybridMultilevel"/>
    <w:tmpl w:val="47BC57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530C4315"/>
    <w:multiLevelType w:val="hybridMultilevel"/>
    <w:tmpl w:val="74544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32942B4"/>
    <w:multiLevelType w:val="hybridMultilevel"/>
    <w:tmpl w:val="6EB81E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7B914DF2"/>
    <w:multiLevelType w:val="hybridMultilevel"/>
    <w:tmpl w:val="00CA9758"/>
    <w:lvl w:ilvl="0" w:tplc="26281584">
      <w:numFmt w:val="bullet"/>
      <w:lvlText w:val="•"/>
      <w:lvlJc w:val="left"/>
      <w:pPr>
        <w:ind w:left="1440" w:hanging="72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7EFC564B"/>
    <w:multiLevelType w:val="hybridMultilevel"/>
    <w:tmpl w:val="816ED93E"/>
    <w:lvl w:ilvl="0" w:tplc="97AC1EAA">
      <w:start w:val="1"/>
      <w:numFmt w:val="bullet"/>
      <w:lvlText w:val="•"/>
      <w:lvlJc w:val="left"/>
      <w:pPr>
        <w:tabs>
          <w:tab w:val="num" w:pos="720"/>
        </w:tabs>
        <w:ind w:left="720" w:hanging="360"/>
      </w:pPr>
      <w:rPr>
        <w:rFonts w:ascii="Arial" w:hAnsi="Arial" w:hint="default"/>
      </w:rPr>
    </w:lvl>
    <w:lvl w:ilvl="1" w:tplc="CB8AF3C4" w:tentative="1">
      <w:start w:val="1"/>
      <w:numFmt w:val="bullet"/>
      <w:lvlText w:val="•"/>
      <w:lvlJc w:val="left"/>
      <w:pPr>
        <w:tabs>
          <w:tab w:val="num" w:pos="1440"/>
        </w:tabs>
        <w:ind w:left="1440" w:hanging="360"/>
      </w:pPr>
      <w:rPr>
        <w:rFonts w:ascii="Arial" w:hAnsi="Arial" w:hint="default"/>
      </w:rPr>
    </w:lvl>
    <w:lvl w:ilvl="2" w:tplc="6B2C13D4" w:tentative="1">
      <w:start w:val="1"/>
      <w:numFmt w:val="bullet"/>
      <w:lvlText w:val="•"/>
      <w:lvlJc w:val="left"/>
      <w:pPr>
        <w:tabs>
          <w:tab w:val="num" w:pos="2160"/>
        </w:tabs>
        <w:ind w:left="2160" w:hanging="360"/>
      </w:pPr>
      <w:rPr>
        <w:rFonts w:ascii="Arial" w:hAnsi="Arial" w:hint="default"/>
      </w:rPr>
    </w:lvl>
    <w:lvl w:ilvl="3" w:tplc="EDAEEB7E" w:tentative="1">
      <w:start w:val="1"/>
      <w:numFmt w:val="bullet"/>
      <w:lvlText w:val="•"/>
      <w:lvlJc w:val="left"/>
      <w:pPr>
        <w:tabs>
          <w:tab w:val="num" w:pos="2880"/>
        </w:tabs>
        <w:ind w:left="2880" w:hanging="360"/>
      </w:pPr>
      <w:rPr>
        <w:rFonts w:ascii="Arial" w:hAnsi="Arial" w:hint="default"/>
      </w:rPr>
    </w:lvl>
    <w:lvl w:ilvl="4" w:tplc="F7A8A1A4" w:tentative="1">
      <w:start w:val="1"/>
      <w:numFmt w:val="bullet"/>
      <w:lvlText w:val="•"/>
      <w:lvlJc w:val="left"/>
      <w:pPr>
        <w:tabs>
          <w:tab w:val="num" w:pos="3600"/>
        </w:tabs>
        <w:ind w:left="3600" w:hanging="360"/>
      </w:pPr>
      <w:rPr>
        <w:rFonts w:ascii="Arial" w:hAnsi="Arial" w:hint="default"/>
      </w:rPr>
    </w:lvl>
    <w:lvl w:ilvl="5" w:tplc="C144CADC" w:tentative="1">
      <w:start w:val="1"/>
      <w:numFmt w:val="bullet"/>
      <w:lvlText w:val="•"/>
      <w:lvlJc w:val="left"/>
      <w:pPr>
        <w:tabs>
          <w:tab w:val="num" w:pos="4320"/>
        </w:tabs>
        <w:ind w:left="4320" w:hanging="360"/>
      </w:pPr>
      <w:rPr>
        <w:rFonts w:ascii="Arial" w:hAnsi="Arial" w:hint="default"/>
      </w:rPr>
    </w:lvl>
    <w:lvl w:ilvl="6" w:tplc="1048040E" w:tentative="1">
      <w:start w:val="1"/>
      <w:numFmt w:val="bullet"/>
      <w:lvlText w:val="•"/>
      <w:lvlJc w:val="left"/>
      <w:pPr>
        <w:tabs>
          <w:tab w:val="num" w:pos="5040"/>
        </w:tabs>
        <w:ind w:left="5040" w:hanging="360"/>
      </w:pPr>
      <w:rPr>
        <w:rFonts w:ascii="Arial" w:hAnsi="Arial" w:hint="default"/>
      </w:rPr>
    </w:lvl>
    <w:lvl w:ilvl="7" w:tplc="FF3666C0" w:tentative="1">
      <w:start w:val="1"/>
      <w:numFmt w:val="bullet"/>
      <w:lvlText w:val="•"/>
      <w:lvlJc w:val="left"/>
      <w:pPr>
        <w:tabs>
          <w:tab w:val="num" w:pos="5760"/>
        </w:tabs>
        <w:ind w:left="5760" w:hanging="360"/>
      </w:pPr>
      <w:rPr>
        <w:rFonts w:ascii="Arial" w:hAnsi="Arial" w:hint="default"/>
      </w:rPr>
    </w:lvl>
    <w:lvl w:ilvl="8" w:tplc="4DCAD1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0"/>
  </w:num>
  <w:num w:numId="4">
    <w:abstractNumId w:val="6"/>
  </w:num>
  <w:num w:numId="5">
    <w:abstractNumId w:val="2"/>
  </w:num>
  <w:num w:numId="6">
    <w:abstractNumId w:val="5"/>
  </w:num>
  <w:num w:numId="7">
    <w:abstractNumId w:val="9"/>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5B"/>
    <w:rsid w:val="0000261F"/>
    <w:rsid w:val="0009252A"/>
    <w:rsid w:val="0011582C"/>
    <w:rsid w:val="001353AA"/>
    <w:rsid w:val="00157311"/>
    <w:rsid w:val="00170499"/>
    <w:rsid w:val="001834E3"/>
    <w:rsid w:val="001C4B5B"/>
    <w:rsid w:val="001D400E"/>
    <w:rsid w:val="00265C20"/>
    <w:rsid w:val="00282F3C"/>
    <w:rsid w:val="002E693D"/>
    <w:rsid w:val="00323B5D"/>
    <w:rsid w:val="00326F79"/>
    <w:rsid w:val="003A1C16"/>
    <w:rsid w:val="00434192"/>
    <w:rsid w:val="00472BB7"/>
    <w:rsid w:val="004C792F"/>
    <w:rsid w:val="0058549A"/>
    <w:rsid w:val="006447B9"/>
    <w:rsid w:val="006C0495"/>
    <w:rsid w:val="007B332A"/>
    <w:rsid w:val="008000DA"/>
    <w:rsid w:val="00825593"/>
    <w:rsid w:val="0089414D"/>
    <w:rsid w:val="00922EC8"/>
    <w:rsid w:val="00A02FF4"/>
    <w:rsid w:val="00A27D26"/>
    <w:rsid w:val="00AE2766"/>
    <w:rsid w:val="00B1115A"/>
    <w:rsid w:val="00B50DCD"/>
    <w:rsid w:val="00BC0943"/>
    <w:rsid w:val="00BC4FC3"/>
    <w:rsid w:val="00E768CE"/>
    <w:rsid w:val="00EE4AAA"/>
    <w:rsid w:val="00FD5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5B"/>
    <w:rPr>
      <w:lang w:val="en-GB"/>
    </w:rPr>
  </w:style>
  <w:style w:type="paragraph" w:styleId="Heading3">
    <w:name w:val="heading 3"/>
    <w:basedOn w:val="Normal"/>
    <w:link w:val="Heading3Char"/>
    <w:uiPriority w:val="9"/>
    <w:qFormat/>
    <w:rsid w:val="0043419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B5B"/>
    <w:rPr>
      <w:sz w:val="16"/>
      <w:szCs w:val="16"/>
    </w:rPr>
  </w:style>
  <w:style w:type="paragraph" w:styleId="CommentText">
    <w:name w:val="annotation text"/>
    <w:basedOn w:val="Normal"/>
    <w:link w:val="CommentTextChar"/>
    <w:uiPriority w:val="99"/>
    <w:semiHidden/>
    <w:unhideWhenUsed/>
    <w:rsid w:val="001C4B5B"/>
    <w:pPr>
      <w:spacing w:line="240" w:lineRule="auto"/>
    </w:pPr>
    <w:rPr>
      <w:sz w:val="20"/>
      <w:szCs w:val="20"/>
    </w:rPr>
  </w:style>
  <w:style w:type="character" w:customStyle="1" w:styleId="CommentTextChar">
    <w:name w:val="Comment Text Char"/>
    <w:basedOn w:val="DefaultParagraphFont"/>
    <w:link w:val="CommentText"/>
    <w:uiPriority w:val="99"/>
    <w:semiHidden/>
    <w:rsid w:val="001C4B5B"/>
    <w:rPr>
      <w:sz w:val="20"/>
      <w:szCs w:val="20"/>
      <w:lang w:val="en-GB"/>
    </w:rPr>
  </w:style>
  <w:style w:type="paragraph" w:styleId="ListParagraph">
    <w:name w:val="List Paragraph"/>
    <w:basedOn w:val="Normal"/>
    <w:uiPriority w:val="34"/>
    <w:qFormat/>
    <w:rsid w:val="001C4B5B"/>
    <w:pPr>
      <w:ind w:left="720"/>
      <w:contextualSpacing/>
    </w:pPr>
  </w:style>
  <w:style w:type="paragraph" w:styleId="BalloonText">
    <w:name w:val="Balloon Text"/>
    <w:basedOn w:val="Normal"/>
    <w:link w:val="BalloonTextChar"/>
    <w:uiPriority w:val="99"/>
    <w:semiHidden/>
    <w:unhideWhenUsed/>
    <w:rsid w:val="001C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5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C4B5B"/>
    <w:rPr>
      <w:b/>
      <w:bCs/>
    </w:rPr>
  </w:style>
  <w:style w:type="character" w:customStyle="1" w:styleId="CommentSubjectChar">
    <w:name w:val="Comment Subject Char"/>
    <w:basedOn w:val="CommentTextChar"/>
    <w:link w:val="CommentSubject"/>
    <w:uiPriority w:val="99"/>
    <w:semiHidden/>
    <w:rsid w:val="001C4B5B"/>
    <w:rPr>
      <w:b/>
      <w:bCs/>
      <w:sz w:val="20"/>
      <w:szCs w:val="20"/>
      <w:lang w:val="en-GB"/>
    </w:rPr>
  </w:style>
  <w:style w:type="character" w:styleId="Hyperlink">
    <w:name w:val="Hyperlink"/>
    <w:basedOn w:val="DefaultParagraphFont"/>
    <w:uiPriority w:val="99"/>
    <w:unhideWhenUsed/>
    <w:rsid w:val="001C4B5B"/>
    <w:rPr>
      <w:color w:val="0000FF" w:themeColor="hyperlink"/>
      <w:u w:val="single"/>
    </w:rPr>
  </w:style>
  <w:style w:type="paragraph" w:styleId="Revision">
    <w:name w:val="Revision"/>
    <w:hidden/>
    <w:uiPriority w:val="99"/>
    <w:semiHidden/>
    <w:rsid w:val="001C4B5B"/>
    <w:pPr>
      <w:spacing w:after="0" w:line="240" w:lineRule="auto"/>
    </w:pPr>
    <w:rPr>
      <w:lang w:val="en-GB"/>
    </w:rPr>
  </w:style>
  <w:style w:type="character" w:customStyle="1" w:styleId="Heading3Char">
    <w:name w:val="Heading 3 Char"/>
    <w:basedOn w:val="DefaultParagraphFont"/>
    <w:link w:val="Heading3"/>
    <w:uiPriority w:val="9"/>
    <w:rsid w:val="00434192"/>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43419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59"/>
    <w:rsid w:val="0082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1C1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C0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5B"/>
    <w:rPr>
      <w:lang w:val="en-GB"/>
    </w:rPr>
  </w:style>
  <w:style w:type="paragraph" w:styleId="Heading3">
    <w:name w:val="heading 3"/>
    <w:basedOn w:val="Normal"/>
    <w:link w:val="Heading3Char"/>
    <w:uiPriority w:val="9"/>
    <w:qFormat/>
    <w:rsid w:val="0043419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B5B"/>
    <w:rPr>
      <w:sz w:val="16"/>
      <w:szCs w:val="16"/>
    </w:rPr>
  </w:style>
  <w:style w:type="paragraph" w:styleId="CommentText">
    <w:name w:val="annotation text"/>
    <w:basedOn w:val="Normal"/>
    <w:link w:val="CommentTextChar"/>
    <w:uiPriority w:val="99"/>
    <w:semiHidden/>
    <w:unhideWhenUsed/>
    <w:rsid w:val="001C4B5B"/>
    <w:pPr>
      <w:spacing w:line="240" w:lineRule="auto"/>
    </w:pPr>
    <w:rPr>
      <w:sz w:val="20"/>
      <w:szCs w:val="20"/>
    </w:rPr>
  </w:style>
  <w:style w:type="character" w:customStyle="1" w:styleId="CommentTextChar">
    <w:name w:val="Comment Text Char"/>
    <w:basedOn w:val="DefaultParagraphFont"/>
    <w:link w:val="CommentText"/>
    <w:uiPriority w:val="99"/>
    <w:semiHidden/>
    <w:rsid w:val="001C4B5B"/>
    <w:rPr>
      <w:sz w:val="20"/>
      <w:szCs w:val="20"/>
      <w:lang w:val="en-GB"/>
    </w:rPr>
  </w:style>
  <w:style w:type="paragraph" w:styleId="ListParagraph">
    <w:name w:val="List Paragraph"/>
    <w:basedOn w:val="Normal"/>
    <w:uiPriority w:val="34"/>
    <w:qFormat/>
    <w:rsid w:val="001C4B5B"/>
    <w:pPr>
      <w:ind w:left="720"/>
      <w:contextualSpacing/>
    </w:pPr>
  </w:style>
  <w:style w:type="paragraph" w:styleId="BalloonText">
    <w:name w:val="Balloon Text"/>
    <w:basedOn w:val="Normal"/>
    <w:link w:val="BalloonTextChar"/>
    <w:uiPriority w:val="99"/>
    <w:semiHidden/>
    <w:unhideWhenUsed/>
    <w:rsid w:val="001C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5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C4B5B"/>
    <w:rPr>
      <w:b/>
      <w:bCs/>
    </w:rPr>
  </w:style>
  <w:style w:type="character" w:customStyle="1" w:styleId="CommentSubjectChar">
    <w:name w:val="Comment Subject Char"/>
    <w:basedOn w:val="CommentTextChar"/>
    <w:link w:val="CommentSubject"/>
    <w:uiPriority w:val="99"/>
    <w:semiHidden/>
    <w:rsid w:val="001C4B5B"/>
    <w:rPr>
      <w:b/>
      <w:bCs/>
      <w:sz w:val="20"/>
      <w:szCs w:val="20"/>
      <w:lang w:val="en-GB"/>
    </w:rPr>
  </w:style>
  <w:style w:type="character" w:styleId="Hyperlink">
    <w:name w:val="Hyperlink"/>
    <w:basedOn w:val="DefaultParagraphFont"/>
    <w:uiPriority w:val="99"/>
    <w:unhideWhenUsed/>
    <w:rsid w:val="001C4B5B"/>
    <w:rPr>
      <w:color w:val="0000FF" w:themeColor="hyperlink"/>
      <w:u w:val="single"/>
    </w:rPr>
  </w:style>
  <w:style w:type="paragraph" w:styleId="Revision">
    <w:name w:val="Revision"/>
    <w:hidden/>
    <w:uiPriority w:val="99"/>
    <w:semiHidden/>
    <w:rsid w:val="001C4B5B"/>
    <w:pPr>
      <w:spacing w:after="0" w:line="240" w:lineRule="auto"/>
    </w:pPr>
    <w:rPr>
      <w:lang w:val="en-GB"/>
    </w:rPr>
  </w:style>
  <w:style w:type="character" w:customStyle="1" w:styleId="Heading3Char">
    <w:name w:val="Heading 3 Char"/>
    <w:basedOn w:val="DefaultParagraphFont"/>
    <w:link w:val="Heading3"/>
    <w:uiPriority w:val="9"/>
    <w:rsid w:val="00434192"/>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43419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59"/>
    <w:rsid w:val="0082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1C1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C0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260">
      <w:bodyDiv w:val="1"/>
      <w:marLeft w:val="0"/>
      <w:marRight w:val="0"/>
      <w:marTop w:val="0"/>
      <w:marBottom w:val="0"/>
      <w:divBdr>
        <w:top w:val="none" w:sz="0" w:space="0" w:color="auto"/>
        <w:left w:val="none" w:sz="0" w:space="0" w:color="auto"/>
        <w:bottom w:val="none" w:sz="0" w:space="0" w:color="auto"/>
        <w:right w:val="none" w:sz="0" w:space="0" w:color="auto"/>
      </w:divBdr>
    </w:div>
    <w:div w:id="4769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hse.ie/eng/services/publications/clinical-strategy-and-programmes/list-of-immunosuppressant-medication.pdf" TargetMode="External"/><Relationship Id="rId3" Type="http://schemas.microsoft.com/office/2007/relationships/stylesWithEffects" Target="stylesWithEffects.xml"/><Relationship Id="rId7" Type="http://schemas.openxmlformats.org/officeDocument/2006/relationships/hyperlink" Target="https://www2.hse.ie/services/hospital-service-disruptions/hospital-service-disruptions-covid19.html" TargetMode="External"/><Relationship Id="rId12" Type="http://schemas.openxmlformats.org/officeDocument/2006/relationships/hyperlink" Target="https://www.hse.ie/eng/health/immunisation/hcpinfo/guidelines/chapter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pra.ie" TargetMode="External"/><Relationship Id="rId11" Type="http://schemas.openxmlformats.org/officeDocument/2006/relationships/hyperlink" Target="https://www.hpsc.ie/a-z/respiratory/coronavirus/novelcoronavirus/guidance/occupationalhealthguidance/Pregnant%20HCWs,%20Vulnerable%20HCWs&amp;%20Other%20HCWs%20with%20Pre-existing%20Disease%20V3%2030%2003%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pra.ie" TargetMode="External"/><Relationship Id="rId4" Type="http://schemas.openxmlformats.org/officeDocument/2006/relationships/settings" Target="settings.xml"/><Relationship Id="rId9" Type="http://schemas.openxmlformats.org/officeDocument/2006/relationships/hyperlink" Target="http://www.hpra.ie" TargetMode="External"/><Relationship Id="rId14" Type="http://schemas.openxmlformats.org/officeDocument/2006/relationships/hyperlink" Target="http://www.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Pate</dc:creator>
  <cp:lastModifiedBy>Muriel Pate</cp:lastModifiedBy>
  <cp:revision>5</cp:revision>
  <dcterms:created xsi:type="dcterms:W3CDTF">2020-04-06T15:56:00Z</dcterms:created>
  <dcterms:modified xsi:type="dcterms:W3CDTF">2020-04-07T15:20:00Z</dcterms:modified>
</cp:coreProperties>
</file>